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hint="default" w:ascii="Times New Roman" w:hAnsi="Times New Roman" w:cs="Times New Roman"/>
        </w:rPr>
      </w:pPr>
      <w:r>
        <w:rPr>
          <w:rFonts w:hint="default" w:ascii="Times New Roman" w:hAnsi="Times New Roman" w:cs="Times New Roman"/>
          <w:color w:val="333333"/>
          <w:sz w:val="27"/>
        </w:rPr>
        <w:t xml:space="preserve">Triggers and Order of Execution </w:t>
      </w:r>
    </w:p>
    <w:p>
      <w:pPr>
        <w:spacing w:before="0" w:after="0"/>
        <w:rPr>
          <w:rFonts w:hint="default" w:ascii="Times New Roman" w:hAnsi="Times New Roman" w:cs="Times New Roman"/>
        </w:rPr>
      </w:pPr>
      <w:r>
        <w:rPr>
          <w:rFonts w:hint="default" w:ascii="Times New Roman" w:hAnsi="Times New Roman" w:cs="Times New Roman"/>
          <w:color w:val="333333"/>
          <w:sz w:val="20"/>
        </w:rPr>
        <w:t>1. Loads the o</w:t>
      </w:r>
      <w:bookmarkStart w:id="0" w:name="_GoBack"/>
      <w:bookmarkEnd w:id="0"/>
      <w:r>
        <w:rPr>
          <w:rFonts w:hint="default" w:ascii="Times New Roman" w:hAnsi="Times New Roman" w:cs="Times New Roman"/>
          <w:color w:val="333333"/>
          <w:sz w:val="20"/>
        </w:rPr>
        <w:t xml:space="preserve">riginal
record from the database or initializes the record for an </w:t>
      </w:r>
      <w:r>
        <w:rPr>
          <w:rFonts w:hint="default" w:ascii="Times New Roman" w:hAnsi="Times New Roman" w:cs="Times New Roman"/>
          <w:color w:val="00008C"/>
          <w:sz w:val="20"/>
        </w:rPr>
        <w:t xml:space="preserve">upsert </w:t>
      </w:r>
      <w:r>
        <w:rPr>
          <w:rFonts w:hint="default" w:ascii="Times New Roman" w:hAnsi="Times New Roman" w:cs="Times New Roman"/>
          <w:color w:val="333333"/>
          <w:sz w:val="20"/>
        </w:rPr>
        <w:t xml:space="preserve">statement.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2. Loads the new record
field values from the request and overwrites the old values.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If the request came from a standard UI edit page, Salesforce runs </w:t>
      </w:r>
      <w:r>
        <w:rPr>
          <w:rFonts w:hint="default" w:ascii="Times New Roman" w:hAnsi="Times New Roman" w:cs="Times New Roman"/>
          <w:b/>
          <w:color w:val="333333"/>
          <w:sz w:val="20"/>
        </w:rPr>
        <w:t xml:space="preserve">system validation </w:t>
      </w:r>
      <w:r>
        <w:rPr>
          <w:rFonts w:hint="default" w:ascii="Times New Roman" w:hAnsi="Times New Roman" w:cs="Times New Roman"/>
          <w:color w:val="333333"/>
          <w:sz w:val="20"/>
        </w:rPr>
        <w:t xml:space="preserve">to check
the record for: </w:t>
      </w:r>
    </w:p>
    <w:p>
      <w:pPr>
        <w:spacing w:before="0" w:after="45"/>
        <w:rPr>
          <w:rFonts w:hint="default" w:ascii="Times New Roman" w:hAnsi="Times New Roman" w:cs="Times New Roman"/>
        </w:rPr>
      </w:pPr>
      <w:r>
        <w:rPr>
          <w:rFonts w:hint="default" w:ascii="Times New Roman" w:hAnsi="Times New Roman" w:cs="Times New Roman"/>
          <w:color w:val="333333"/>
          <w:sz w:val="20"/>
        </w:rPr>
        <w:t xml:space="preserve">Compliance with
layout-specific rules </w:t>
      </w:r>
    </w:p>
    <w:p>
      <w:pPr>
        <w:spacing w:before="0" w:after="45"/>
        <w:rPr>
          <w:rFonts w:hint="default" w:ascii="Times New Roman" w:hAnsi="Times New Roman" w:cs="Times New Roman"/>
        </w:rPr>
      </w:pPr>
      <w:r>
        <w:rPr>
          <w:rFonts w:hint="default" w:ascii="Times New Roman" w:hAnsi="Times New Roman" w:cs="Times New Roman"/>
          <w:color w:val="333333"/>
          <w:sz w:val="20"/>
        </w:rPr>
        <w:t xml:space="preserve">Required values at the
layout level and field-definition level </w:t>
      </w:r>
    </w:p>
    <w:p>
      <w:pPr>
        <w:spacing w:before="0" w:after="45"/>
        <w:rPr>
          <w:rFonts w:hint="default" w:ascii="Times New Roman" w:hAnsi="Times New Roman" w:cs="Times New Roman"/>
        </w:rPr>
      </w:pPr>
      <w:r>
        <w:rPr>
          <w:rFonts w:hint="default" w:ascii="Times New Roman" w:hAnsi="Times New Roman" w:cs="Times New Roman"/>
          <w:color w:val="333333"/>
          <w:sz w:val="20"/>
        </w:rPr>
        <w:t xml:space="preserve">Valid field formats </w:t>
      </w:r>
    </w:p>
    <w:p>
      <w:pPr>
        <w:spacing w:before="0" w:after="45"/>
        <w:rPr>
          <w:rFonts w:hint="default" w:ascii="Times New Roman" w:hAnsi="Times New Roman" w:cs="Times New Roman"/>
        </w:rPr>
      </w:pPr>
      <w:r>
        <w:rPr>
          <w:rFonts w:hint="default" w:ascii="Times New Roman" w:hAnsi="Times New Roman" w:cs="Times New Roman"/>
          <w:color w:val="333333"/>
          <w:sz w:val="20"/>
        </w:rPr>
        <w:t xml:space="preserve">Maximum field length </w:t>
      </w:r>
    </w:p>
    <w:p>
      <w:pPr>
        <w:spacing w:before="240" w:after="240"/>
        <w:rPr>
          <w:rFonts w:hint="default" w:ascii="Times New Roman" w:hAnsi="Times New Roman" w:cs="Times New Roman"/>
        </w:rPr>
      </w:pPr>
      <w:r>
        <w:rPr>
          <w:rFonts w:hint="default" w:ascii="Times New Roman" w:hAnsi="Times New Roman" w:cs="Times New Roman"/>
          <w:color w:val="333333"/>
          <w:sz w:val="20"/>
        </w:rPr>
        <w:t xml:space="preserve">Salesforce doesn't perform system validation in this step
when the request comes from other sources, such as an Apex application
or a SOAP API call. </w:t>
      </w: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Salesforce runs user-defined validation rules if
multiline items were created, such as quote line items and opportunity line
items.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3. Executes </w:t>
      </w:r>
      <w:r>
        <w:rPr>
          <w:rFonts w:hint="default" w:ascii="Times New Roman" w:hAnsi="Times New Roman" w:cs="Times New Roman"/>
          <w:b/>
          <w:color w:val="333333"/>
          <w:sz w:val="20"/>
        </w:rPr>
        <w:t xml:space="preserve">all before triggers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4. Runs most </w:t>
      </w:r>
      <w:r>
        <w:rPr>
          <w:rFonts w:hint="default" w:ascii="Times New Roman" w:hAnsi="Times New Roman" w:cs="Times New Roman"/>
          <w:b/>
          <w:color w:val="333333"/>
          <w:sz w:val="20"/>
        </w:rPr>
        <w:t xml:space="preserve">system validation </w:t>
      </w:r>
      <w:r>
        <w:rPr>
          <w:rFonts w:hint="default" w:ascii="Times New Roman" w:hAnsi="Times New Roman" w:cs="Times New Roman"/>
          <w:color w:val="333333"/>
          <w:sz w:val="20"/>
        </w:rPr>
        <w:t xml:space="preserve">steps again,
such as verifying that all required fields have a non- </w:t>
      </w:r>
      <w:r>
        <w:rPr>
          <w:rFonts w:hint="default" w:ascii="Times New Roman" w:hAnsi="Times New Roman" w:cs="Times New Roman"/>
          <w:color w:val="00008C"/>
          <w:sz w:val="20"/>
        </w:rPr>
        <w:t xml:space="preserve">null </w:t>
      </w:r>
      <w:r>
        <w:rPr>
          <w:rFonts w:hint="default" w:ascii="Times New Roman" w:hAnsi="Times New Roman" w:cs="Times New Roman"/>
          <w:color w:val="333333"/>
          <w:sz w:val="20"/>
        </w:rPr>
        <w:t xml:space="preserve">value, and runs any user-defined validation rules. The only
system validation that Salesforce doesn't run a second time (when the
request comes from a standard UI edit page) is the enforcement of
layout-specific rules.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5. </w:t>
      </w:r>
      <w:r>
        <w:rPr>
          <w:rFonts w:hint="default" w:ascii="Times New Roman" w:hAnsi="Times New Roman" w:cs="Times New Roman"/>
          <w:b/>
          <w:color w:val="333333"/>
          <w:sz w:val="20"/>
        </w:rPr>
        <w:t xml:space="preserve">Executes duplicate rules </w:t>
      </w:r>
      <w:r>
        <w:rPr>
          <w:rFonts w:hint="default" w:ascii="Times New Roman" w:hAnsi="Times New Roman" w:cs="Times New Roman"/>
          <w:color w:val="333333"/>
          <w:sz w:val="20"/>
        </w:rPr>
        <w:t xml:space="preserve">. If the duplicate rule identifies the record as
a duplicate and uses the block action, the record is not saved and no further
steps, such as after triggers and workflow rules, are taken.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6. </w:t>
      </w:r>
      <w:r>
        <w:rPr>
          <w:rFonts w:hint="default" w:ascii="Times New Roman" w:hAnsi="Times New Roman" w:cs="Times New Roman"/>
          <w:b/>
          <w:color w:val="333333"/>
          <w:sz w:val="20"/>
        </w:rPr>
        <w:t xml:space="preserve">Saves </w:t>
      </w:r>
      <w:r>
        <w:rPr>
          <w:rFonts w:hint="default" w:ascii="Times New Roman" w:hAnsi="Times New Roman" w:cs="Times New Roman"/>
          <w:color w:val="333333"/>
          <w:sz w:val="20"/>
        </w:rPr>
        <w:t xml:space="preserve">the record to the database, but doesn't commit yet.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7. Executes </w:t>
      </w:r>
      <w:r>
        <w:rPr>
          <w:rFonts w:hint="default" w:ascii="Times New Roman" w:hAnsi="Times New Roman" w:cs="Times New Roman"/>
          <w:b/>
          <w:color w:val="333333"/>
          <w:sz w:val="20"/>
        </w:rPr>
        <w:t xml:space="preserve">all after triggers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8. Executes </w:t>
      </w:r>
      <w:r>
        <w:rPr>
          <w:rFonts w:hint="default" w:ascii="Times New Roman" w:hAnsi="Times New Roman" w:cs="Times New Roman"/>
          <w:b/>
          <w:color w:val="333333"/>
          <w:sz w:val="20"/>
        </w:rPr>
        <w:t xml:space="preserve">assignment rules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9. Executes </w:t>
      </w:r>
      <w:r>
        <w:rPr>
          <w:rFonts w:hint="default" w:ascii="Times New Roman" w:hAnsi="Times New Roman" w:cs="Times New Roman"/>
          <w:b/>
          <w:color w:val="333333"/>
          <w:sz w:val="20"/>
        </w:rPr>
        <w:t xml:space="preserve">auto-response rules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10. Executes </w:t>
      </w:r>
      <w:r>
        <w:rPr>
          <w:rFonts w:hint="default" w:ascii="Times New Roman" w:hAnsi="Times New Roman" w:cs="Times New Roman"/>
          <w:b/>
          <w:color w:val="333333"/>
          <w:sz w:val="20"/>
        </w:rPr>
        <w:t xml:space="preserve">workflow rules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11. If there are </w:t>
      </w:r>
      <w:r>
        <w:rPr>
          <w:rFonts w:hint="default" w:ascii="Times New Roman" w:hAnsi="Times New Roman" w:cs="Times New Roman"/>
          <w:b/>
          <w:color w:val="333333"/>
          <w:sz w:val="20"/>
        </w:rPr>
        <w:t xml:space="preserve">workflow field updates </w:t>
      </w:r>
      <w:r>
        <w:rPr>
          <w:rFonts w:hint="default" w:ascii="Times New Roman" w:hAnsi="Times New Roman" w:cs="Times New Roman"/>
          <w:color w:val="333333"/>
          <w:sz w:val="20"/>
        </w:rPr>
        <w:t xml:space="preserve">, updates
the record again.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12. If workflow field
updates introduced new duplicate field values, executes duplicate rules again.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13. If the record was
updated with workflow field updates, </w:t>
      </w:r>
      <w:r>
        <w:rPr>
          <w:rFonts w:hint="default" w:ascii="Times New Roman" w:hAnsi="Times New Roman" w:cs="Times New Roman"/>
          <w:b/>
          <w:color w:val="333333"/>
          <w:sz w:val="20"/>
        </w:rPr>
        <w:t xml:space="preserve">fires before </w:t>
      </w:r>
      <w:r>
        <w:rPr>
          <w:rFonts w:hint="default" w:ascii="Times New Roman" w:hAnsi="Times New Roman" w:cs="Times New Roman"/>
          <w:b/>
          <w:color w:val="00008C"/>
          <w:sz w:val="20"/>
        </w:rPr>
        <w:t xml:space="preserve">update </w:t>
      </w:r>
      <w:r>
        <w:rPr>
          <w:rFonts w:hint="default" w:ascii="Times New Roman" w:hAnsi="Times New Roman" w:cs="Times New Roman"/>
          <w:b/>
          <w:color w:val="333333"/>
          <w:sz w:val="20"/>
        </w:rPr>
        <w:t xml:space="preserve">triggers and after </w:t>
      </w:r>
      <w:r>
        <w:rPr>
          <w:rFonts w:hint="default" w:ascii="Times New Roman" w:hAnsi="Times New Roman" w:cs="Times New Roman"/>
          <w:b/>
          <w:color w:val="00008C"/>
          <w:sz w:val="20"/>
        </w:rPr>
        <w:t xml:space="preserve">update </w:t>
      </w:r>
      <w:r>
        <w:rPr>
          <w:rFonts w:hint="default" w:ascii="Times New Roman" w:hAnsi="Times New Roman" w:cs="Times New Roman"/>
          <w:b/>
          <w:color w:val="333333"/>
          <w:sz w:val="20"/>
        </w:rPr>
        <w:t xml:space="preserve">triggers one more time (and only one more
time), in addition to standard validations. Custom validation rules are not run
again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14. Executes processes.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Processes are currently available through a
private beta program. For information on enabling this feature in your
organization, contact Salesforce.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If there are workflow flow triggers,
executes the flows.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Flow trigger workflow actions, formerly
available in a pilot program, have been superseded by the Process Builder.
Organizations that are using flow trigger workflow actions may continue to
create and edit them, but flow trigger workflow actions aren’t available for
new organizations. For information on enabling the Process Builder (beta)
in your organization, contact Salesforce.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15. Executes </w:t>
      </w:r>
      <w:r>
        <w:rPr>
          <w:rFonts w:hint="default" w:ascii="Times New Roman" w:hAnsi="Times New Roman" w:cs="Times New Roman"/>
          <w:b/>
          <w:color w:val="333333"/>
          <w:sz w:val="20"/>
        </w:rPr>
        <w:t xml:space="preserve">escalation rules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16. Executes </w:t>
      </w:r>
      <w:r>
        <w:rPr>
          <w:rFonts w:hint="default" w:ascii="Times New Roman" w:hAnsi="Times New Roman" w:cs="Times New Roman"/>
          <w:b/>
          <w:color w:val="333333"/>
          <w:sz w:val="20"/>
        </w:rPr>
        <w:t xml:space="preserve">entitlement rules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17. If the record contains </w:t>
      </w:r>
      <w:r>
        <w:rPr>
          <w:rFonts w:hint="default" w:ascii="Times New Roman" w:hAnsi="Times New Roman" w:cs="Times New Roman"/>
          <w:b/>
          <w:color w:val="333333"/>
          <w:sz w:val="20"/>
        </w:rPr>
        <w:t xml:space="preserve">a roll-up summary field </w:t>
      </w:r>
      <w:r>
        <w:rPr>
          <w:rFonts w:hint="default" w:ascii="Times New Roman" w:hAnsi="Times New Roman" w:cs="Times New Roman"/>
          <w:color w:val="333333"/>
          <w:sz w:val="20"/>
        </w:rPr>
        <w:t xml:space="preserve">or is
part of a cross-object workflow, performs calculations and updates the roll-up
summary field in the parent record. Parent record goes through save procedure.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18. If the parent record is
updated, and a grandparent record contains a roll-up summary field or is part
of a </w:t>
      </w:r>
      <w:r>
        <w:rPr>
          <w:rFonts w:hint="default" w:ascii="Times New Roman" w:hAnsi="Times New Roman" w:cs="Times New Roman"/>
          <w:b/>
          <w:color w:val="333333"/>
          <w:sz w:val="20"/>
        </w:rPr>
        <w:t xml:space="preserve">cross-object workflow </w:t>
      </w:r>
      <w:r>
        <w:rPr>
          <w:rFonts w:hint="default" w:ascii="Times New Roman" w:hAnsi="Times New Roman" w:cs="Times New Roman"/>
          <w:color w:val="333333"/>
          <w:sz w:val="20"/>
        </w:rPr>
        <w:t xml:space="preserve">,
performs calculations and updates the roll-up summary field in the grandparent
record. Grandparent record goes through save procedure.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19. Executes </w:t>
      </w:r>
      <w:r>
        <w:rPr>
          <w:rFonts w:hint="default" w:ascii="Times New Roman" w:hAnsi="Times New Roman" w:cs="Times New Roman"/>
          <w:b/>
          <w:color w:val="333333"/>
          <w:sz w:val="20"/>
        </w:rPr>
        <w:t xml:space="preserve">Criteria Based Sharing evaluation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20. Commits all </w:t>
      </w:r>
      <w:r>
        <w:rPr>
          <w:rFonts w:hint="default" w:ascii="Times New Roman" w:hAnsi="Times New Roman" w:cs="Times New Roman"/>
          <w:b/>
          <w:color w:val="333333"/>
          <w:sz w:val="20"/>
        </w:rPr>
        <w:t xml:space="preserve">DML operations to the database </w:t>
      </w:r>
      <w:r>
        <w:rPr>
          <w:rFonts w:hint="default" w:ascii="Times New Roman" w:hAnsi="Times New Roman" w:cs="Times New Roman"/>
          <w:color w:val="333333"/>
          <w:sz w:val="20"/>
        </w:rPr>
        <w:t xml:space="preserve">. </w:t>
      </w:r>
    </w:p>
    <w:p>
      <w:pPr>
        <w:spacing w:before="0" w:after="0"/>
        <w:rPr>
          <w:rFonts w:hint="default" w:ascii="Times New Roman" w:hAnsi="Times New Roman" w:cs="Times New Roman"/>
        </w:rPr>
      </w:pPr>
      <w:r>
        <w:rPr>
          <w:rFonts w:hint="default" w:ascii="Times New Roman" w:hAnsi="Times New Roman" w:cs="Times New Roman"/>
          <w:color w:val="333333"/>
          <w:sz w:val="20"/>
        </w:rPr>
        <w:t xml:space="preserve">21. Executes </w:t>
      </w:r>
      <w:r>
        <w:rPr>
          <w:rFonts w:hint="default" w:ascii="Times New Roman" w:hAnsi="Times New Roman" w:cs="Times New Roman"/>
          <w:b/>
          <w:color w:val="333333"/>
          <w:sz w:val="20"/>
        </w:rPr>
        <w:t xml:space="preserve">post-commit logic, such as sending email </w:t>
      </w:r>
      <w:r>
        <w:rPr>
          <w:rFonts w:hint="default" w:ascii="Times New Roman" w:hAnsi="Times New Roman" w:cs="Times New Roman"/>
          <w:color w:val="333333"/>
          <w:sz w:val="20"/>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New Tai Lue">
    <w:panose1 w:val="020B0502040204020203"/>
    <w:charset w:val="00"/>
    <w:family w:val="auto"/>
    <w:pitch w:val="default"/>
    <w:sig w:usb0="00000003" w:usb1="00000000" w:usb2="8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cumentProtection w:enforcement="0"/>
  <w:compat>
    <w:splitPgBreakAndParaMark/>
    <w:compatSetting w:name="compatibilityMode" w:uri="http://schemas.microsoft.com/office/word" w:val="12"/>
  </w:compat>
  <w:rsids>
    <w:rsidRoot w:val="00000000"/>
    <w:rsid w:val="444C25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2015-04-19T07:34:00Z</dcterms:created>
  <dc:creator>toDocx</dc:creator>
  <cp:lastModifiedBy>khair.afghan</cp:lastModifiedBy>
  <dcterms:modified xsi:type="dcterms:W3CDTF">2018-03-13T08:17:48Z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