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CD137" w14:textId="77777777" w:rsidR="008F70B3" w:rsidRPr="008F70B3" w:rsidRDefault="008F70B3" w:rsidP="008F70B3">
      <w:r w:rsidRPr="008F70B3">
        <w:rPr>
          <w:b/>
          <w:bCs/>
        </w:rPr>
        <w:t>Environmental Sustainability Dashboard – A Citywide Environmental Intelligence Platform</w:t>
      </w:r>
    </w:p>
    <w:p w14:paraId="45030199" w14:textId="77777777" w:rsidR="008F70B3" w:rsidRPr="008F70B3" w:rsidRDefault="008F70B3" w:rsidP="008F70B3">
      <w:r w:rsidRPr="008F70B3">
        <w:pict w14:anchorId="552EA109">
          <v:rect id="_x0000_i1061" style="width:0;height:1.5pt" o:hralign="center" o:hrstd="t" o:hr="t" fillcolor="#a0a0a0" stroked="f"/>
        </w:pict>
      </w:r>
    </w:p>
    <w:p w14:paraId="1F612386" w14:textId="77777777" w:rsidR="008F70B3" w:rsidRPr="008F70B3" w:rsidRDefault="008F70B3" w:rsidP="008F70B3">
      <w:r w:rsidRPr="008F70B3">
        <w:rPr>
          <w:b/>
          <w:bCs/>
        </w:rPr>
        <w:t>Objective:</w:t>
      </w:r>
    </w:p>
    <w:p w14:paraId="6C9C9675" w14:textId="271BC327" w:rsidR="008F70B3" w:rsidRPr="008F70B3" w:rsidRDefault="008F70B3" w:rsidP="008F70B3">
      <w:r w:rsidRPr="008F70B3">
        <w:t>This project aims to design and develop an interactive dashboard that enables city authorities and environmental agencies to monitor key sustainability indicators. The dashboard consolidates real-time environmental data—such as air quality, carbon emissions, waste management—into a single visual platform to support evidence-based decision-making and promote public environmental awareness.</w:t>
      </w:r>
    </w:p>
    <w:p w14:paraId="4E44EAFB" w14:textId="77777777" w:rsidR="008F70B3" w:rsidRPr="008F70B3" w:rsidRDefault="008F70B3" w:rsidP="008F70B3">
      <w:r w:rsidRPr="008F70B3">
        <w:pict w14:anchorId="78E4BF2A">
          <v:rect id="_x0000_i1062" style="width:0;height:1.5pt" o:hralign="center" o:hrstd="t" o:hr="t" fillcolor="#a0a0a0" stroked="f"/>
        </w:pict>
      </w:r>
    </w:p>
    <w:p w14:paraId="775D0AE5" w14:textId="77777777" w:rsidR="00D31F03" w:rsidRPr="00D31F03" w:rsidRDefault="00D31F03" w:rsidP="00D31F03">
      <w:pPr>
        <w:rPr>
          <w:b/>
          <w:bCs/>
        </w:rPr>
      </w:pPr>
      <w:r w:rsidRPr="00D31F03">
        <w:rPr>
          <w:b/>
          <w:bCs/>
        </w:rPr>
        <w:t>Dataset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2131"/>
        <w:gridCol w:w="2163"/>
        <w:gridCol w:w="3199"/>
      </w:tblGrid>
      <w:tr w:rsidR="00D31F03" w:rsidRPr="00D31F03" w14:paraId="02DBC0F7" w14:textId="77777777" w:rsidTr="00D31F03">
        <w:trPr>
          <w:tblHeader/>
          <w:tblCellSpacing w:w="15" w:type="dxa"/>
        </w:trPr>
        <w:tc>
          <w:tcPr>
            <w:tcW w:w="0" w:type="auto"/>
            <w:vAlign w:val="center"/>
            <w:hideMark/>
          </w:tcPr>
          <w:p w14:paraId="4777E9BA" w14:textId="77777777" w:rsidR="00D31F03" w:rsidRPr="00D31F03" w:rsidRDefault="00D31F03" w:rsidP="00D31F03">
            <w:pPr>
              <w:rPr>
                <w:b/>
                <w:bCs/>
              </w:rPr>
            </w:pPr>
            <w:r w:rsidRPr="00D31F03">
              <w:rPr>
                <w:b/>
                <w:bCs/>
              </w:rPr>
              <w:t>Feature</w:t>
            </w:r>
          </w:p>
        </w:tc>
        <w:tc>
          <w:tcPr>
            <w:tcW w:w="0" w:type="auto"/>
            <w:vAlign w:val="center"/>
            <w:hideMark/>
          </w:tcPr>
          <w:p w14:paraId="5E4E6C32" w14:textId="77777777" w:rsidR="00D31F03" w:rsidRPr="00D31F03" w:rsidRDefault="00D31F03" w:rsidP="00D31F03">
            <w:pPr>
              <w:rPr>
                <w:b/>
                <w:bCs/>
              </w:rPr>
            </w:pPr>
            <w:r w:rsidRPr="00D31F03">
              <w:rPr>
                <w:b/>
                <w:bCs/>
              </w:rPr>
              <w:t>Air Quality</w:t>
            </w:r>
          </w:p>
        </w:tc>
        <w:tc>
          <w:tcPr>
            <w:tcW w:w="0" w:type="auto"/>
            <w:vAlign w:val="center"/>
            <w:hideMark/>
          </w:tcPr>
          <w:p w14:paraId="01999C06" w14:textId="77777777" w:rsidR="00D31F03" w:rsidRPr="00D31F03" w:rsidRDefault="00D31F03" w:rsidP="00D31F03">
            <w:pPr>
              <w:rPr>
                <w:b/>
                <w:bCs/>
              </w:rPr>
            </w:pPr>
            <w:r w:rsidRPr="00D31F03">
              <w:rPr>
                <w:b/>
                <w:bCs/>
              </w:rPr>
              <w:t>Carbon Emissions</w:t>
            </w:r>
          </w:p>
        </w:tc>
        <w:tc>
          <w:tcPr>
            <w:tcW w:w="0" w:type="auto"/>
            <w:vAlign w:val="center"/>
            <w:hideMark/>
          </w:tcPr>
          <w:p w14:paraId="7D034E32" w14:textId="77777777" w:rsidR="00D31F03" w:rsidRPr="00D31F03" w:rsidRDefault="00D31F03" w:rsidP="00D31F03">
            <w:pPr>
              <w:rPr>
                <w:b/>
                <w:bCs/>
              </w:rPr>
            </w:pPr>
            <w:r w:rsidRPr="00D31F03">
              <w:rPr>
                <w:b/>
                <w:bCs/>
              </w:rPr>
              <w:t>Waste Management</w:t>
            </w:r>
          </w:p>
        </w:tc>
      </w:tr>
      <w:tr w:rsidR="00D31F03" w:rsidRPr="00D31F03" w14:paraId="24757285" w14:textId="77777777" w:rsidTr="00D31F03">
        <w:trPr>
          <w:tblCellSpacing w:w="15" w:type="dxa"/>
        </w:trPr>
        <w:tc>
          <w:tcPr>
            <w:tcW w:w="0" w:type="auto"/>
            <w:vAlign w:val="center"/>
            <w:hideMark/>
          </w:tcPr>
          <w:p w14:paraId="438678DB" w14:textId="77777777" w:rsidR="00D31F03" w:rsidRPr="00D31F03" w:rsidRDefault="00D31F03" w:rsidP="00D31F03">
            <w:pPr>
              <w:rPr>
                <w:b/>
                <w:bCs/>
              </w:rPr>
            </w:pPr>
            <w:r w:rsidRPr="00D31F03">
              <w:rPr>
                <w:b/>
                <w:bCs/>
              </w:rPr>
              <w:t>Focus</w:t>
            </w:r>
          </w:p>
        </w:tc>
        <w:tc>
          <w:tcPr>
            <w:tcW w:w="0" w:type="auto"/>
            <w:vAlign w:val="center"/>
            <w:hideMark/>
          </w:tcPr>
          <w:p w14:paraId="18D73B16" w14:textId="77777777" w:rsidR="00D31F03" w:rsidRPr="00D31F03" w:rsidRDefault="00D31F03" w:rsidP="00D31F03">
            <w:r w:rsidRPr="00D31F03">
              <w:t>AQI, PM2.5, city-level pollution, AQI categories</w:t>
            </w:r>
          </w:p>
        </w:tc>
        <w:tc>
          <w:tcPr>
            <w:tcW w:w="0" w:type="auto"/>
            <w:vAlign w:val="center"/>
            <w:hideMark/>
          </w:tcPr>
          <w:p w14:paraId="14027716" w14:textId="77777777" w:rsidR="00D31F03" w:rsidRPr="00D31F03" w:rsidRDefault="00D31F03" w:rsidP="00D31F03">
            <w:r w:rsidRPr="00D31F03">
              <w:t>CO levels by city, sector-specific emissions</w:t>
            </w:r>
          </w:p>
        </w:tc>
        <w:tc>
          <w:tcPr>
            <w:tcW w:w="0" w:type="auto"/>
            <w:vAlign w:val="center"/>
            <w:hideMark/>
          </w:tcPr>
          <w:p w14:paraId="3D9F5465" w14:textId="77777777" w:rsidR="00D31F03" w:rsidRPr="00D31F03" w:rsidRDefault="00D31F03" w:rsidP="00D31F03">
            <w:r w:rsidRPr="00D31F03">
              <w:t>Waste type and volume by city, recycling rates</w:t>
            </w:r>
          </w:p>
        </w:tc>
      </w:tr>
      <w:tr w:rsidR="00D31F03" w:rsidRPr="00D31F03" w14:paraId="6A44F367" w14:textId="77777777" w:rsidTr="00D31F03">
        <w:trPr>
          <w:tblCellSpacing w:w="15" w:type="dxa"/>
        </w:trPr>
        <w:tc>
          <w:tcPr>
            <w:tcW w:w="0" w:type="auto"/>
            <w:vAlign w:val="center"/>
            <w:hideMark/>
          </w:tcPr>
          <w:p w14:paraId="48B72B43" w14:textId="77777777" w:rsidR="00D31F03" w:rsidRPr="00D31F03" w:rsidRDefault="00D31F03" w:rsidP="00D31F03">
            <w:pPr>
              <w:rPr>
                <w:b/>
                <w:bCs/>
              </w:rPr>
            </w:pPr>
            <w:r w:rsidRPr="00D31F03">
              <w:rPr>
                <w:b/>
                <w:bCs/>
              </w:rPr>
              <w:t>Granularity</w:t>
            </w:r>
          </w:p>
        </w:tc>
        <w:tc>
          <w:tcPr>
            <w:tcW w:w="0" w:type="auto"/>
            <w:vAlign w:val="center"/>
            <w:hideMark/>
          </w:tcPr>
          <w:p w14:paraId="3603861A" w14:textId="77777777" w:rsidR="00D31F03" w:rsidRPr="00D31F03" w:rsidRDefault="00D31F03" w:rsidP="00D31F03">
            <w:r w:rsidRPr="00D31F03">
              <w:t>Yearly, city-level, bucket (Good to Poor)</w:t>
            </w:r>
          </w:p>
        </w:tc>
        <w:tc>
          <w:tcPr>
            <w:tcW w:w="0" w:type="auto"/>
            <w:vAlign w:val="center"/>
            <w:hideMark/>
          </w:tcPr>
          <w:p w14:paraId="403C6857" w14:textId="77777777" w:rsidR="00D31F03" w:rsidRPr="00D31F03" w:rsidRDefault="00D31F03" w:rsidP="00D31F03">
            <w:r w:rsidRPr="00D31F03">
              <w:t>Yearly, by city and emission source</w:t>
            </w:r>
          </w:p>
        </w:tc>
        <w:tc>
          <w:tcPr>
            <w:tcW w:w="0" w:type="auto"/>
            <w:vAlign w:val="center"/>
            <w:hideMark/>
          </w:tcPr>
          <w:p w14:paraId="687BA3BA" w14:textId="77777777" w:rsidR="00D31F03" w:rsidRPr="00D31F03" w:rsidRDefault="00D31F03" w:rsidP="00D31F03">
            <w:r w:rsidRPr="00D31F03">
              <w:t>Yearly, by city and waste type (organic, e-waste, plastic, etc.)</w:t>
            </w:r>
          </w:p>
        </w:tc>
      </w:tr>
      <w:tr w:rsidR="00D31F03" w:rsidRPr="00D31F03" w14:paraId="2E5A805D" w14:textId="77777777" w:rsidTr="00D31F03">
        <w:trPr>
          <w:tblCellSpacing w:w="15" w:type="dxa"/>
        </w:trPr>
        <w:tc>
          <w:tcPr>
            <w:tcW w:w="0" w:type="auto"/>
            <w:vAlign w:val="center"/>
            <w:hideMark/>
          </w:tcPr>
          <w:p w14:paraId="723AB8A4" w14:textId="77777777" w:rsidR="00D31F03" w:rsidRPr="00D31F03" w:rsidRDefault="00D31F03" w:rsidP="00D31F03">
            <w:pPr>
              <w:rPr>
                <w:b/>
                <w:bCs/>
              </w:rPr>
            </w:pPr>
            <w:r w:rsidRPr="00D31F03">
              <w:rPr>
                <w:b/>
                <w:bCs/>
              </w:rPr>
              <w:t>Time Coverage</w:t>
            </w:r>
          </w:p>
        </w:tc>
        <w:tc>
          <w:tcPr>
            <w:tcW w:w="0" w:type="auto"/>
            <w:vAlign w:val="center"/>
            <w:hideMark/>
          </w:tcPr>
          <w:p w14:paraId="51CA5FF1" w14:textId="77777777" w:rsidR="00D31F03" w:rsidRPr="00D31F03" w:rsidRDefault="00D31F03" w:rsidP="00D31F03">
            <w:r w:rsidRPr="00D31F03">
              <w:t>2015–2020</w:t>
            </w:r>
          </w:p>
        </w:tc>
        <w:tc>
          <w:tcPr>
            <w:tcW w:w="0" w:type="auto"/>
            <w:vAlign w:val="center"/>
            <w:hideMark/>
          </w:tcPr>
          <w:p w14:paraId="5BCF7DD6" w14:textId="77777777" w:rsidR="00D31F03" w:rsidRPr="00D31F03" w:rsidRDefault="00D31F03" w:rsidP="00D31F03">
            <w:r w:rsidRPr="00D31F03">
              <w:t>2016–2020</w:t>
            </w:r>
          </w:p>
        </w:tc>
        <w:tc>
          <w:tcPr>
            <w:tcW w:w="0" w:type="auto"/>
            <w:vAlign w:val="center"/>
            <w:hideMark/>
          </w:tcPr>
          <w:p w14:paraId="421B5A0D" w14:textId="77777777" w:rsidR="00D31F03" w:rsidRPr="00D31F03" w:rsidRDefault="00D31F03" w:rsidP="00D31F03">
            <w:r w:rsidRPr="00D31F03">
              <w:t>2015–2020</w:t>
            </w:r>
          </w:p>
        </w:tc>
      </w:tr>
      <w:tr w:rsidR="00D31F03" w:rsidRPr="00D31F03" w14:paraId="1B8B2613" w14:textId="77777777" w:rsidTr="00D31F03">
        <w:trPr>
          <w:tblCellSpacing w:w="15" w:type="dxa"/>
        </w:trPr>
        <w:tc>
          <w:tcPr>
            <w:tcW w:w="0" w:type="auto"/>
            <w:vAlign w:val="center"/>
            <w:hideMark/>
          </w:tcPr>
          <w:p w14:paraId="60FB28E1" w14:textId="77777777" w:rsidR="00D31F03" w:rsidRPr="00D31F03" w:rsidRDefault="00D31F03" w:rsidP="00D31F03">
            <w:pPr>
              <w:rPr>
                <w:b/>
                <w:bCs/>
              </w:rPr>
            </w:pPr>
            <w:r w:rsidRPr="00D31F03">
              <w:rPr>
                <w:b/>
                <w:bCs/>
              </w:rPr>
              <w:t>Geographic Coverage</w:t>
            </w:r>
          </w:p>
        </w:tc>
        <w:tc>
          <w:tcPr>
            <w:tcW w:w="0" w:type="auto"/>
            <w:vAlign w:val="center"/>
            <w:hideMark/>
          </w:tcPr>
          <w:p w14:paraId="1E5C2951" w14:textId="77777777" w:rsidR="00D31F03" w:rsidRPr="00D31F03" w:rsidRDefault="00D31F03" w:rsidP="00D31F03">
            <w:r w:rsidRPr="00D31F03">
              <w:t>Indian cities (e.g., Delhi, Mumbai, Ahmedabad)</w:t>
            </w:r>
          </w:p>
        </w:tc>
        <w:tc>
          <w:tcPr>
            <w:tcW w:w="0" w:type="auto"/>
            <w:vAlign w:val="center"/>
            <w:hideMark/>
          </w:tcPr>
          <w:p w14:paraId="50A9B947" w14:textId="77777777" w:rsidR="00D31F03" w:rsidRPr="00D31F03" w:rsidRDefault="00D31F03" w:rsidP="00D31F03">
            <w:r w:rsidRPr="00D31F03">
              <w:t>Top 5 CO-polluted Indian cities</w:t>
            </w:r>
          </w:p>
        </w:tc>
        <w:tc>
          <w:tcPr>
            <w:tcW w:w="0" w:type="auto"/>
            <w:vAlign w:val="center"/>
            <w:hideMark/>
          </w:tcPr>
          <w:p w14:paraId="1A35C31E" w14:textId="77777777" w:rsidR="00D31F03" w:rsidRPr="00D31F03" w:rsidRDefault="00D31F03" w:rsidP="00D31F03">
            <w:r w:rsidRPr="00D31F03">
              <w:t>6 major Indian cities (e.g., Surat, Visakhapatnam, Thiruvananthapuram)</w:t>
            </w:r>
          </w:p>
        </w:tc>
      </w:tr>
      <w:tr w:rsidR="00D31F03" w:rsidRPr="00D31F03" w14:paraId="08371BEC" w14:textId="77777777" w:rsidTr="00D31F03">
        <w:trPr>
          <w:tblCellSpacing w:w="15" w:type="dxa"/>
        </w:trPr>
        <w:tc>
          <w:tcPr>
            <w:tcW w:w="0" w:type="auto"/>
            <w:vAlign w:val="center"/>
            <w:hideMark/>
          </w:tcPr>
          <w:p w14:paraId="44406804" w14:textId="77777777" w:rsidR="00D31F03" w:rsidRPr="00D31F03" w:rsidRDefault="00D31F03" w:rsidP="00D31F03">
            <w:pPr>
              <w:rPr>
                <w:b/>
                <w:bCs/>
              </w:rPr>
            </w:pPr>
            <w:r w:rsidRPr="00D31F03">
              <w:rPr>
                <w:b/>
                <w:bCs/>
              </w:rPr>
              <w:t>Source</w:t>
            </w:r>
          </w:p>
        </w:tc>
        <w:tc>
          <w:tcPr>
            <w:tcW w:w="0" w:type="auto"/>
            <w:vAlign w:val="center"/>
            <w:hideMark/>
          </w:tcPr>
          <w:p w14:paraId="75E3355F" w14:textId="77777777" w:rsidR="00D31F03" w:rsidRPr="00D31F03" w:rsidRDefault="00D31F03" w:rsidP="00D31F03">
            <w:r w:rsidRPr="00D31F03">
              <w:t>Environmental sensors, public datasets</w:t>
            </w:r>
          </w:p>
        </w:tc>
        <w:tc>
          <w:tcPr>
            <w:tcW w:w="0" w:type="auto"/>
            <w:vAlign w:val="center"/>
            <w:hideMark/>
          </w:tcPr>
          <w:p w14:paraId="28836823" w14:textId="77777777" w:rsidR="00D31F03" w:rsidRPr="00D31F03" w:rsidRDefault="00D31F03" w:rsidP="00D31F03">
            <w:r w:rsidRPr="00D31F03">
              <w:t>Electric power sector CO data</w:t>
            </w:r>
          </w:p>
        </w:tc>
        <w:tc>
          <w:tcPr>
            <w:tcW w:w="0" w:type="auto"/>
            <w:vAlign w:val="center"/>
            <w:hideMark/>
          </w:tcPr>
          <w:p w14:paraId="543ECC79" w14:textId="77777777" w:rsidR="00D31F03" w:rsidRPr="00D31F03" w:rsidRDefault="00D31F03" w:rsidP="00D31F03">
            <w:r w:rsidRPr="00D31F03">
              <w:t>City waste collection and processing records</w:t>
            </w:r>
          </w:p>
        </w:tc>
      </w:tr>
      <w:tr w:rsidR="00D31F03" w:rsidRPr="00D31F03" w14:paraId="74772CDE" w14:textId="77777777" w:rsidTr="00D31F03">
        <w:trPr>
          <w:tblCellSpacing w:w="15" w:type="dxa"/>
        </w:trPr>
        <w:tc>
          <w:tcPr>
            <w:tcW w:w="0" w:type="auto"/>
            <w:vAlign w:val="center"/>
            <w:hideMark/>
          </w:tcPr>
          <w:p w14:paraId="4536D7AB" w14:textId="77777777" w:rsidR="00D31F03" w:rsidRPr="00D31F03" w:rsidRDefault="00D31F03" w:rsidP="00D31F03">
            <w:pPr>
              <w:rPr>
                <w:b/>
                <w:bCs/>
              </w:rPr>
            </w:pPr>
            <w:r w:rsidRPr="00D31F03">
              <w:rPr>
                <w:b/>
                <w:bCs/>
              </w:rPr>
              <w:t>Measurement Units</w:t>
            </w:r>
          </w:p>
        </w:tc>
        <w:tc>
          <w:tcPr>
            <w:tcW w:w="0" w:type="auto"/>
            <w:vAlign w:val="center"/>
            <w:hideMark/>
          </w:tcPr>
          <w:p w14:paraId="63FC9808" w14:textId="77777777" w:rsidR="00D31F03" w:rsidRPr="00D31F03" w:rsidRDefault="00D31F03" w:rsidP="00D31F03">
            <w:r w:rsidRPr="00D31F03">
              <w:t>AQI index, PM2.5 (μg/m³)</w:t>
            </w:r>
          </w:p>
        </w:tc>
        <w:tc>
          <w:tcPr>
            <w:tcW w:w="0" w:type="auto"/>
            <w:vAlign w:val="center"/>
            <w:hideMark/>
          </w:tcPr>
          <w:p w14:paraId="6C614DBC" w14:textId="77777777" w:rsidR="00D31F03" w:rsidRPr="00D31F03" w:rsidRDefault="00D31F03" w:rsidP="00D31F03">
            <w:r w:rsidRPr="00D31F03">
              <w:t>CO concentration (ppm), CO₂ emission (tons/year)</w:t>
            </w:r>
          </w:p>
        </w:tc>
        <w:tc>
          <w:tcPr>
            <w:tcW w:w="0" w:type="auto"/>
            <w:vAlign w:val="center"/>
            <w:hideMark/>
          </w:tcPr>
          <w:p w14:paraId="6BF0158A" w14:textId="77777777" w:rsidR="00D31F03" w:rsidRPr="00D31F03" w:rsidRDefault="00D31F03" w:rsidP="00D31F03">
            <w:r w:rsidRPr="00D31F03">
              <w:t>Tons/year by waste type</w:t>
            </w:r>
          </w:p>
        </w:tc>
      </w:tr>
    </w:tbl>
    <w:p w14:paraId="4ABB584E" w14:textId="77777777" w:rsidR="008F70B3" w:rsidRPr="008F70B3" w:rsidRDefault="008F70B3" w:rsidP="008F70B3">
      <w:r w:rsidRPr="008F70B3">
        <w:pict w14:anchorId="7A86B9D9">
          <v:rect id="_x0000_i1063" style="width:0;height:1.5pt" o:hralign="center" o:hrstd="t" o:hr="t" fillcolor="#a0a0a0" stroked="f"/>
        </w:pict>
      </w:r>
    </w:p>
    <w:p w14:paraId="103796DC" w14:textId="77777777" w:rsidR="008F70B3" w:rsidRPr="008F70B3" w:rsidRDefault="008F70B3" w:rsidP="008F70B3">
      <w:r w:rsidRPr="008F70B3">
        <w:rPr>
          <w:b/>
          <w:bCs/>
        </w:rPr>
        <w:t>Dashboard Highlights:</w:t>
      </w:r>
    </w:p>
    <w:p w14:paraId="0C2FC341" w14:textId="77777777" w:rsidR="00D31F03" w:rsidRPr="00D31F03" w:rsidRDefault="00D31F03" w:rsidP="00D31F03">
      <w:pPr>
        <w:rPr>
          <w:b/>
          <w:bCs/>
        </w:rPr>
      </w:pPr>
      <w:r w:rsidRPr="00D31F03">
        <w:rPr>
          <w:b/>
          <w:bCs/>
          <w:i/>
          <w:iCs/>
        </w:rPr>
        <w:t>1. Air Quality Overview</w:t>
      </w:r>
    </w:p>
    <w:p w14:paraId="1F623BCE" w14:textId="77777777" w:rsidR="00D31F03" w:rsidRPr="00D31F03" w:rsidRDefault="00D31F03" w:rsidP="00D31F03">
      <w:pPr>
        <w:numPr>
          <w:ilvl w:val="0"/>
          <w:numId w:val="4"/>
        </w:numPr>
      </w:pPr>
      <w:r w:rsidRPr="00D31F03">
        <w:t>KPI Cards: Average AQI (4M), PM2.5 (2M), current AQI (Delhi: 519K), AQI bucket (“Good”).</w:t>
      </w:r>
    </w:p>
    <w:p w14:paraId="169D013D" w14:textId="77777777" w:rsidR="00D31F03" w:rsidRPr="00D31F03" w:rsidRDefault="00D31F03" w:rsidP="00D31F03">
      <w:pPr>
        <w:numPr>
          <w:ilvl w:val="0"/>
          <w:numId w:val="4"/>
        </w:numPr>
        <w:rPr>
          <w:b/>
          <w:bCs/>
        </w:rPr>
      </w:pPr>
      <w:r w:rsidRPr="00D31F03">
        <w:rPr>
          <w:b/>
          <w:bCs/>
        </w:rPr>
        <w:t>Trends &amp; Visuals:</w:t>
      </w:r>
    </w:p>
    <w:p w14:paraId="20454BDE" w14:textId="77777777" w:rsidR="00D31F03" w:rsidRPr="00D31F03" w:rsidRDefault="00D31F03" w:rsidP="00D31F03">
      <w:pPr>
        <w:numPr>
          <w:ilvl w:val="1"/>
          <w:numId w:val="4"/>
        </w:numPr>
      </w:pPr>
      <w:r w:rsidRPr="00D31F03">
        <w:t>AQI Trend Over Time (2015–2020)</w:t>
      </w:r>
    </w:p>
    <w:p w14:paraId="1D7C3ACC" w14:textId="77777777" w:rsidR="00D31F03" w:rsidRPr="00D31F03" w:rsidRDefault="00D31F03" w:rsidP="00D31F03">
      <w:pPr>
        <w:numPr>
          <w:ilvl w:val="1"/>
          <w:numId w:val="4"/>
        </w:numPr>
      </w:pPr>
      <w:r w:rsidRPr="00D31F03">
        <w:t>City-wise AQI bar chart (top: Ahmedabad, Delhi)</w:t>
      </w:r>
    </w:p>
    <w:p w14:paraId="41E871F6" w14:textId="77777777" w:rsidR="00D31F03" w:rsidRPr="00D31F03" w:rsidRDefault="00D31F03" w:rsidP="00D31F03">
      <w:pPr>
        <w:numPr>
          <w:ilvl w:val="1"/>
          <w:numId w:val="4"/>
        </w:numPr>
      </w:pPr>
      <w:r w:rsidRPr="00D31F03">
        <w:t>AQI category donut chart (e.g., Good, Moderate)</w:t>
      </w:r>
    </w:p>
    <w:p w14:paraId="0D68B9A5" w14:textId="77777777" w:rsidR="00D31F03" w:rsidRPr="00D31F03" w:rsidRDefault="00D31F03" w:rsidP="00D31F03">
      <w:pPr>
        <w:numPr>
          <w:ilvl w:val="1"/>
          <w:numId w:val="4"/>
        </w:numPr>
      </w:pPr>
      <w:r w:rsidRPr="00D31F03">
        <w:t>Geo-map of AQI distribution</w:t>
      </w:r>
    </w:p>
    <w:p w14:paraId="05A6A92A" w14:textId="77777777" w:rsidR="00D31F03" w:rsidRPr="00D31F03" w:rsidRDefault="00D31F03" w:rsidP="00D31F03">
      <w:pPr>
        <w:numPr>
          <w:ilvl w:val="1"/>
          <w:numId w:val="4"/>
        </w:numPr>
      </w:pPr>
      <w:r w:rsidRPr="00D31F03">
        <w:lastRenderedPageBreak/>
        <w:t>Time-based state color coding</w:t>
      </w:r>
    </w:p>
    <w:p w14:paraId="65B468E7" w14:textId="77777777" w:rsidR="00D31F03" w:rsidRPr="00D31F03" w:rsidRDefault="00D31F03" w:rsidP="00D31F03">
      <w:pPr>
        <w:numPr>
          <w:ilvl w:val="1"/>
          <w:numId w:val="4"/>
        </w:numPr>
      </w:pPr>
      <w:r w:rsidRPr="00D31F03">
        <w:t>Pollutant composition trend: PM2.5, CO, NO₂, SO₂, O₃</w:t>
      </w:r>
    </w:p>
    <w:p w14:paraId="55294C0B" w14:textId="77777777" w:rsidR="00D31F03" w:rsidRPr="00D31F03" w:rsidRDefault="00D31F03" w:rsidP="00D31F03">
      <w:pPr>
        <w:rPr>
          <w:b/>
          <w:bCs/>
        </w:rPr>
      </w:pPr>
      <w:r w:rsidRPr="00D31F03">
        <w:rPr>
          <w:b/>
          <w:bCs/>
          <w:i/>
          <w:iCs/>
        </w:rPr>
        <w:t>2. Carbon Emissions</w:t>
      </w:r>
    </w:p>
    <w:p w14:paraId="2C5731F1" w14:textId="77777777" w:rsidR="00D31F03" w:rsidRPr="00D31F03" w:rsidRDefault="00D31F03" w:rsidP="00D31F03">
      <w:pPr>
        <w:numPr>
          <w:ilvl w:val="0"/>
          <w:numId w:val="5"/>
        </w:numPr>
        <w:rPr>
          <w:b/>
          <w:bCs/>
        </w:rPr>
      </w:pPr>
      <w:r w:rsidRPr="00D31F03">
        <w:rPr>
          <w:b/>
          <w:bCs/>
        </w:rPr>
        <w:t>KPI Visuals:</w:t>
      </w:r>
    </w:p>
    <w:p w14:paraId="2823AC44" w14:textId="77777777" w:rsidR="00D31F03" w:rsidRPr="00D31F03" w:rsidRDefault="00D31F03" w:rsidP="00D31F03">
      <w:pPr>
        <w:numPr>
          <w:ilvl w:val="1"/>
          <w:numId w:val="5"/>
        </w:numPr>
      </w:pPr>
      <w:r w:rsidRPr="00D31F03">
        <w:t>CO Trend Over Time by City (Mumbai, Talcher, etc.)</w:t>
      </w:r>
    </w:p>
    <w:p w14:paraId="7B946BA4" w14:textId="77777777" w:rsidR="00D31F03" w:rsidRPr="00D31F03" w:rsidRDefault="00D31F03" w:rsidP="00D31F03">
      <w:pPr>
        <w:numPr>
          <w:ilvl w:val="1"/>
          <w:numId w:val="5"/>
        </w:numPr>
      </w:pPr>
      <w:r w:rsidRPr="00D31F03">
        <w:t>Top 5 Polluted Cities by CO (Thiruvananthapuram: 2.37)</w:t>
      </w:r>
    </w:p>
    <w:p w14:paraId="07F2629A" w14:textId="77777777" w:rsidR="00D31F03" w:rsidRPr="00D31F03" w:rsidRDefault="00D31F03" w:rsidP="00D31F03">
      <w:pPr>
        <w:numPr>
          <w:ilvl w:val="1"/>
          <w:numId w:val="5"/>
        </w:numPr>
      </w:pPr>
      <w:r w:rsidRPr="00D31F03">
        <w:t>Sectoral emissions table (Coal, Geothermal, Non-Biomass)</w:t>
      </w:r>
    </w:p>
    <w:p w14:paraId="78BD5056" w14:textId="77777777" w:rsidR="00D31F03" w:rsidRPr="00D31F03" w:rsidRDefault="00D31F03" w:rsidP="00D31F03">
      <w:pPr>
        <w:numPr>
          <w:ilvl w:val="1"/>
          <w:numId w:val="5"/>
        </w:numPr>
      </w:pPr>
      <w:r w:rsidRPr="00D31F03">
        <w:t>CO-related Air Quality category donut chart</w:t>
      </w:r>
    </w:p>
    <w:p w14:paraId="11BFDB65" w14:textId="77777777" w:rsidR="00D31F03" w:rsidRPr="00D31F03" w:rsidRDefault="00D31F03" w:rsidP="00D31F03">
      <w:pPr>
        <w:numPr>
          <w:ilvl w:val="1"/>
          <w:numId w:val="5"/>
        </w:numPr>
      </w:pPr>
      <w:r w:rsidRPr="00D31F03">
        <w:t>Average CO level gauge: 7.31</w:t>
      </w:r>
    </w:p>
    <w:p w14:paraId="085077C1" w14:textId="77777777" w:rsidR="00D31F03" w:rsidRPr="00D31F03" w:rsidRDefault="00D31F03" w:rsidP="00D31F03">
      <w:pPr>
        <w:rPr>
          <w:b/>
          <w:bCs/>
        </w:rPr>
      </w:pPr>
      <w:r w:rsidRPr="00D31F03">
        <w:rPr>
          <w:b/>
          <w:bCs/>
          <w:i/>
          <w:iCs/>
        </w:rPr>
        <w:t>3. Waste Management</w:t>
      </w:r>
    </w:p>
    <w:p w14:paraId="120ED439" w14:textId="77777777" w:rsidR="00D31F03" w:rsidRPr="00D31F03" w:rsidRDefault="00D31F03" w:rsidP="00D31F03">
      <w:pPr>
        <w:numPr>
          <w:ilvl w:val="0"/>
          <w:numId w:val="6"/>
        </w:numPr>
        <w:rPr>
          <w:b/>
          <w:bCs/>
        </w:rPr>
      </w:pPr>
      <w:r w:rsidRPr="00D31F03">
        <w:rPr>
          <w:b/>
          <w:bCs/>
        </w:rPr>
        <w:t>Interactive Elements:</w:t>
      </w:r>
    </w:p>
    <w:p w14:paraId="5DF04F85" w14:textId="77777777" w:rsidR="00D31F03" w:rsidRPr="00D31F03" w:rsidRDefault="00D31F03" w:rsidP="00D31F03">
      <w:pPr>
        <w:numPr>
          <w:ilvl w:val="1"/>
          <w:numId w:val="6"/>
        </w:numPr>
      </w:pPr>
      <w:r w:rsidRPr="00D31F03">
        <w:t>Waste processed by type and city (bar chart)</w:t>
      </w:r>
    </w:p>
    <w:p w14:paraId="67277FB9" w14:textId="77777777" w:rsidR="00D31F03" w:rsidRPr="00D31F03" w:rsidRDefault="00D31F03" w:rsidP="00D31F03">
      <w:pPr>
        <w:numPr>
          <w:ilvl w:val="1"/>
          <w:numId w:val="6"/>
        </w:numPr>
      </w:pPr>
      <w:r w:rsidRPr="00D31F03">
        <w:t>Waste table by city and category</w:t>
      </w:r>
    </w:p>
    <w:p w14:paraId="715BD750" w14:textId="77777777" w:rsidR="00D31F03" w:rsidRPr="00D31F03" w:rsidRDefault="00D31F03" w:rsidP="00D31F03">
      <w:pPr>
        <w:numPr>
          <w:ilvl w:val="1"/>
          <w:numId w:val="6"/>
        </w:numPr>
      </w:pPr>
      <w:r w:rsidRPr="00D31F03">
        <w:t>Top performing cities (e.g., Visakhapatnam, Vadodara)</w:t>
      </w:r>
    </w:p>
    <w:p w14:paraId="6B60029C" w14:textId="77777777" w:rsidR="00D31F03" w:rsidRPr="00D31F03" w:rsidRDefault="00D31F03" w:rsidP="00D31F03">
      <w:pPr>
        <w:numPr>
          <w:ilvl w:val="1"/>
          <w:numId w:val="6"/>
        </w:numPr>
      </w:pPr>
      <w:r w:rsidRPr="00D31F03">
        <w:t>Recycling rates with population density</w:t>
      </w:r>
    </w:p>
    <w:p w14:paraId="5D50FFE6" w14:textId="77777777" w:rsidR="00D31F03" w:rsidRPr="00D31F03" w:rsidRDefault="00D31F03" w:rsidP="00D31F03">
      <w:pPr>
        <w:numPr>
          <w:ilvl w:val="1"/>
          <w:numId w:val="6"/>
        </w:numPr>
      </w:pPr>
      <w:r w:rsidRPr="00D31F03">
        <w:t>Top 3 Waste Types: Incineration, Composting, Recycling</w:t>
      </w:r>
    </w:p>
    <w:p w14:paraId="61291504" w14:textId="77777777" w:rsidR="008F70B3" w:rsidRPr="008F70B3" w:rsidRDefault="008F70B3" w:rsidP="008F70B3">
      <w:r w:rsidRPr="008F70B3">
        <w:pict w14:anchorId="1D94A2F5">
          <v:rect id="_x0000_i1064" style="width:0;height:1.5pt" o:hralign="center" o:hrstd="t" o:hr="t" fillcolor="#a0a0a0" stroked="f"/>
        </w:pict>
      </w:r>
    </w:p>
    <w:p w14:paraId="00183783" w14:textId="77777777" w:rsidR="008F70B3" w:rsidRPr="008F70B3" w:rsidRDefault="008F70B3" w:rsidP="008F70B3">
      <w:r w:rsidRPr="008F70B3">
        <w:rPr>
          <w:b/>
          <w:bCs/>
        </w:rPr>
        <w:t>Insights:</w:t>
      </w:r>
    </w:p>
    <w:p w14:paraId="74A2A929" w14:textId="62369A48" w:rsidR="00D31F03" w:rsidRPr="00D31F03" w:rsidRDefault="00D31F03" w:rsidP="00D31F03">
      <w:pPr>
        <w:pStyle w:val="ListParagraph"/>
        <w:numPr>
          <w:ilvl w:val="0"/>
          <w:numId w:val="7"/>
        </w:numPr>
      </w:pPr>
      <w:r w:rsidRPr="00D31F03">
        <w:rPr>
          <w:b/>
          <w:bCs/>
        </w:rPr>
        <w:t>Air Quality:</w:t>
      </w:r>
      <w:r w:rsidRPr="00D31F03">
        <w:t xml:space="preserve"> Some cities maintain consistently high AQI values (e.g., Ahmedabad, Delhi), though the overall trend improves from 2015 to 2020.</w:t>
      </w:r>
    </w:p>
    <w:p w14:paraId="1F4073FF" w14:textId="111AE454" w:rsidR="00D31F03" w:rsidRPr="00D31F03" w:rsidRDefault="00D31F03" w:rsidP="00D31F03">
      <w:pPr>
        <w:pStyle w:val="ListParagraph"/>
        <w:numPr>
          <w:ilvl w:val="0"/>
          <w:numId w:val="7"/>
        </w:numPr>
      </w:pPr>
      <w:r w:rsidRPr="00D31F03">
        <w:rPr>
          <w:b/>
          <w:bCs/>
        </w:rPr>
        <w:t>Carbon Emissions:</w:t>
      </w:r>
      <w:r w:rsidRPr="00D31F03">
        <w:t xml:space="preserve"> Power generation from coal contributes the most to CO emissions. Southern cities show higher average CO levels.</w:t>
      </w:r>
    </w:p>
    <w:p w14:paraId="06AEB8E9" w14:textId="680BA7A2" w:rsidR="00D31F03" w:rsidRPr="00D31F03" w:rsidRDefault="00D31F03" w:rsidP="00D31F03">
      <w:pPr>
        <w:pStyle w:val="ListParagraph"/>
        <w:numPr>
          <w:ilvl w:val="0"/>
          <w:numId w:val="7"/>
        </w:numPr>
      </w:pPr>
      <w:r w:rsidRPr="00D31F03">
        <w:rPr>
          <w:b/>
          <w:bCs/>
        </w:rPr>
        <w:t>Waste Management:</w:t>
      </w:r>
      <w:r w:rsidRPr="00D31F03">
        <w:t xml:space="preserve"> Organic and plastic waste dominate in most cities; Visakhapatnam and Thiruvananthapuram lead in recycling efficiency.</w:t>
      </w:r>
    </w:p>
    <w:p w14:paraId="4A55F0A4" w14:textId="77777777" w:rsidR="008F70B3" w:rsidRPr="008F70B3" w:rsidRDefault="008F70B3" w:rsidP="008F70B3">
      <w:r w:rsidRPr="008F70B3">
        <w:pict w14:anchorId="6A3C64D9">
          <v:rect id="_x0000_i1065" style="width:0;height:1.5pt" o:hralign="center" o:hrstd="t" o:hr="t" fillcolor="#a0a0a0" stroked="f"/>
        </w:pict>
      </w:r>
    </w:p>
    <w:p w14:paraId="0A03377C" w14:textId="77777777" w:rsidR="00D31F03" w:rsidRPr="00D31F03" w:rsidRDefault="00D31F03" w:rsidP="00D31F03">
      <w:pPr>
        <w:rPr>
          <w:b/>
          <w:bCs/>
        </w:rPr>
      </w:pPr>
      <w:r w:rsidRPr="00D31F03">
        <w:rPr>
          <w:b/>
          <w:bCs/>
        </w:rPr>
        <w:t>Steps Followed:</w:t>
      </w:r>
    </w:p>
    <w:p w14:paraId="38743FED" w14:textId="77777777" w:rsidR="00D31F03" w:rsidRPr="00D31F03" w:rsidRDefault="00D31F03" w:rsidP="00D31F03">
      <w:pPr>
        <w:numPr>
          <w:ilvl w:val="0"/>
          <w:numId w:val="8"/>
        </w:numPr>
      </w:pPr>
      <w:r w:rsidRPr="00D31F03">
        <w:rPr>
          <w:b/>
          <w:bCs/>
        </w:rPr>
        <w:t xml:space="preserve">Data Extraction: </w:t>
      </w:r>
      <w:r w:rsidRPr="00D31F03">
        <w:t>Collected open government datasets and sensor feeds for AQI, emissions, and waste.</w:t>
      </w:r>
    </w:p>
    <w:p w14:paraId="5EC5438F" w14:textId="77777777" w:rsidR="00D31F03" w:rsidRPr="00D31F03" w:rsidRDefault="00D31F03" w:rsidP="00D31F03">
      <w:pPr>
        <w:numPr>
          <w:ilvl w:val="0"/>
          <w:numId w:val="8"/>
        </w:numPr>
      </w:pPr>
      <w:r w:rsidRPr="00D31F03">
        <w:rPr>
          <w:b/>
          <w:bCs/>
        </w:rPr>
        <w:t>Data Transformation</w:t>
      </w:r>
      <w:r w:rsidRPr="00D31F03">
        <w:t>: Cleaned using Power Query and Excel; modeled relationships in Power BI.</w:t>
      </w:r>
    </w:p>
    <w:p w14:paraId="50BDA455" w14:textId="77777777" w:rsidR="00D31F03" w:rsidRPr="00D31F03" w:rsidRDefault="00D31F03" w:rsidP="00D31F03">
      <w:pPr>
        <w:numPr>
          <w:ilvl w:val="0"/>
          <w:numId w:val="8"/>
        </w:numPr>
        <w:rPr>
          <w:b/>
          <w:bCs/>
        </w:rPr>
      </w:pPr>
      <w:r w:rsidRPr="00D31F03">
        <w:rPr>
          <w:b/>
          <w:bCs/>
        </w:rPr>
        <w:t xml:space="preserve">Metrics &amp; DAX: </w:t>
      </w:r>
      <w:r w:rsidRPr="00D31F03">
        <w:t>Created measures for averages, category distributions, and trends.</w:t>
      </w:r>
    </w:p>
    <w:p w14:paraId="1656337D" w14:textId="77777777" w:rsidR="00D31F03" w:rsidRPr="00D31F03" w:rsidRDefault="00D31F03" w:rsidP="00D31F03">
      <w:pPr>
        <w:numPr>
          <w:ilvl w:val="0"/>
          <w:numId w:val="8"/>
        </w:numPr>
      </w:pPr>
      <w:r w:rsidRPr="00D31F03">
        <w:rPr>
          <w:b/>
          <w:bCs/>
        </w:rPr>
        <w:t xml:space="preserve">Visualization: </w:t>
      </w:r>
      <w:r w:rsidRPr="00D31F03">
        <w:t>Developed multi-page dashboards with KPI cards, donut charts, maps, bar and line graphs.</w:t>
      </w:r>
    </w:p>
    <w:p w14:paraId="0401F763" w14:textId="77777777" w:rsidR="00D31F03" w:rsidRPr="00D31F03" w:rsidRDefault="00D31F03" w:rsidP="00D31F03">
      <w:pPr>
        <w:numPr>
          <w:ilvl w:val="0"/>
          <w:numId w:val="8"/>
        </w:numPr>
      </w:pPr>
      <w:r w:rsidRPr="00D31F03">
        <w:rPr>
          <w:b/>
          <w:bCs/>
        </w:rPr>
        <w:t xml:space="preserve">Interactivity: </w:t>
      </w:r>
      <w:r w:rsidRPr="00D31F03">
        <w:t>Integrated slicers, filters, and tooltips to enhance user experience.</w:t>
      </w:r>
    </w:p>
    <w:p w14:paraId="5A7C548D" w14:textId="77777777" w:rsidR="00D31F03" w:rsidRPr="00D31F03" w:rsidRDefault="00D31F03" w:rsidP="00D31F03">
      <w:pPr>
        <w:rPr>
          <w:b/>
          <w:bCs/>
        </w:rPr>
      </w:pPr>
      <w:r w:rsidRPr="00D31F03">
        <w:rPr>
          <w:b/>
          <w:bCs/>
        </w:rPr>
        <w:lastRenderedPageBreak/>
        <w:pict w14:anchorId="3AC09AE6">
          <v:rect id="_x0000_i1083" style="width:0;height:1.5pt" o:hralign="center" o:hrstd="t" o:hr="t" fillcolor="#a0a0a0" stroked="f"/>
        </w:pict>
      </w:r>
    </w:p>
    <w:p w14:paraId="6EC478EA" w14:textId="77777777" w:rsidR="00D31F03" w:rsidRPr="00D31F03" w:rsidRDefault="00D31F03" w:rsidP="00D31F03">
      <w:pPr>
        <w:rPr>
          <w:b/>
          <w:bCs/>
        </w:rPr>
      </w:pPr>
      <w:r w:rsidRPr="00D31F03">
        <w:rPr>
          <w:b/>
          <w:bCs/>
        </w:rPr>
        <w:t>Outcome:</w:t>
      </w:r>
    </w:p>
    <w:p w14:paraId="025FA518" w14:textId="77777777" w:rsidR="00D31F03" w:rsidRPr="00D31F03" w:rsidRDefault="00D31F03" w:rsidP="00D31F03">
      <w:r w:rsidRPr="00D31F03">
        <w:t>The final Power BI dashboard delivers actionable, real-time insights across three environmental domains—air quality, emissions, and waste. It enables policymakers, planners, and the public to make informed decisions, track sustainability goals, and advocate for cleaner, greener urban living.</w:t>
      </w:r>
    </w:p>
    <w:p w14:paraId="48EF285F" w14:textId="77777777" w:rsidR="002E7F9F" w:rsidRDefault="002E7F9F"/>
    <w:sectPr w:rsidR="002E7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A1922"/>
    <w:multiLevelType w:val="multilevel"/>
    <w:tmpl w:val="B4AE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53496"/>
    <w:multiLevelType w:val="multilevel"/>
    <w:tmpl w:val="31B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A1CD6"/>
    <w:multiLevelType w:val="multilevel"/>
    <w:tmpl w:val="FF68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D73D9"/>
    <w:multiLevelType w:val="hybridMultilevel"/>
    <w:tmpl w:val="15D61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1374FB"/>
    <w:multiLevelType w:val="multilevel"/>
    <w:tmpl w:val="06E24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87F34"/>
    <w:multiLevelType w:val="multilevel"/>
    <w:tmpl w:val="95567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C4BFE"/>
    <w:multiLevelType w:val="multilevel"/>
    <w:tmpl w:val="0D862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73D01"/>
    <w:multiLevelType w:val="multilevel"/>
    <w:tmpl w:val="16D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817695">
    <w:abstractNumId w:val="1"/>
  </w:num>
  <w:num w:numId="2" w16cid:durableId="549001294">
    <w:abstractNumId w:val="7"/>
  </w:num>
  <w:num w:numId="3" w16cid:durableId="1198816627">
    <w:abstractNumId w:val="0"/>
  </w:num>
  <w:num w:numId="4" w16cid:durableId="1103653113">
    <w:abstractNumId w:val="6"/>
  </w:num>
  <w:num w:numId="5" w16cid:durableId="881207439">
    <w:abstractNumId w:val="5"/>
  </w:num>
  <w:num w:numId="6" w16cid:durableId="1712611526">
    <w:abstractNumId w:val="4"/>
  </w:num>
  <w:num w:numId="7" w16cid:durableId="173345293">
    <w:abstractNumId w:val="3"/>
  </w:num>
  <w:num w:numId="8" w16cid:durableId="981274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B3"/>
    <w:rsid w:val="00126053"/>
    <w:rsid w:val="002E7F9F"/>
    <w:rsid w:val="0032644C"/>
    <w:rsid w:val="00763B31"/>
    <w:rsid w:val="008F70B3"/>
    <w:rsid w:val="00D26CE0"/>
    <w:rsid w:val="00D31F03"/>
    <w:rsid w:val="00F067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9A85"/>
  <w15:chartTrackingRefBased/>
  <w15:docId w15:val="{606ABC06-106E-4F22-B05E-E9717DBA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7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0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0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70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7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7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0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0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70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7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0B3"/>
    <w:rPr>
      <w:rFonts w:eastAsiaTheme="majorEastAsia" w:cstheme="majorBidi"/>
      <w:color w:val="272727" w:themeColor="text1" w:themeTint="D8"/>
    </w:rPr>
  </w:style>
  <w:style w:type="paragraph" w:styleId="Title">
    <w:name w:val="Title"/>
    <w:basedOn w:val="Normal"/>
    <w:next w:val="Normal"/>
    <w:link w:val="TitleChar"/>
    <w:uiPriority w:val="10"/>
    <w:qFormat/>
    <w:rsid w:val="008F7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0B3"/>
    <w:pPr>
      <w:spacing w:before="160"/>
      <w:jc w:val="center"/>
    </w:pPr>
    <w:rPr>
      <w:i/>
      <w:iCs/>
      <w:color w:val="404040" w:themeColor="text1" w:themeTint="BF"/>
    </w:rPr>
  </w:style>
  <w:style w:type="character" w:customStyle="1" w:styleId="QuoteChar">
    <w:name w:val="Quote Char"/>
    <w:basedOn w:val="DefaultParagraphFont"/>
    <w:link w:val="Quote"/>
    <w:uiPriority w:val="29"/>
    <w:rsid w:val="008F70B3"/>
    <w:rPr>
      <w:i/>
      <w:iCs/>
      <w:color w:val="404040" w:themeColor="text1" w:themeTint="BF"/>
    </w:rPr>
  </w:style>
  <w:style w:type="paragraph" w:styleId="ListParagraph">
    <w:name w:val="List Paragraph"/>
    <w:basedOn w:val="Normal"/>
    <w:uiPriority w:val="34"/>
    <w:qFormat/>
    <w:rsid w:val="008F70B3"/>
    <w:pPr>
      <w:ind w:left="720"/>
      <w:contextualSpacing/>
    </w:pPr>
  </w:style>
  <w:style w:type="character" w:styleId="IntenseEmphasis">
    <w:name w:val="Intense Emphasis"/>
    <w:basedOn w:val="DefaultParagraphFont"/>
    <w:uiPriority w:val="21"/>
    <w:qFormat/>
    <w:rsid w:val="008F70B3"/>
    <w:rPr>
      <w:i/>
      <w:iCs/>
      <w:color w:val="2F5496" w:themeColor="accent1" w:themeShade="BF"/>
    </w:rPr>
  </w:style>
  <w:style w:type="paragraph" w:styleId="IntenseQuote">
    <w:name w:val="Intense Quote"/>
    <w:basedOn w:val="Normal"/>
    <w:next w:val="Normal"/>
    <w:link w:val="IntenseQuoteChar"/>
    <w:uiPriority w:val="30"/>
    <w:qFormat/>
    <w:rsid w:val="008F7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70B3"/>
    <w:rPr>
      <w:i/>
      <w:iCs/>
      <w:color w:val="2F5496" w:themeColor="accent1" w:themeShade="BF"/>
    </w:rPr>
  </w:style>
  <w:style w:type="character" w:styleId="IntenseReference">
    <w:name w:val="Intense Reference"/>
    <w:basedOn w:val="DefaultParagraphFont"/>
    <w:uiPriority w:val="32"/>
    <w:qFormat/>
    <w:rsid w:val="008F70B3"/>
    <w:rPr>
      <w:b/>
      <w:bCs/>
      <w:smallCaps/>
      <w:color w:val="2F5496" w:themeColor="accent1" w:themeShade="BF"/>
      <w:spacing w:val="5"/>
    </w:rPr>
  </w:style>
  <w:style w:type="character" w:styleId="Strong">
    <w:name w:val="Strong"/>
    <w:basedOn w:val="DefaultParagraphFont"/>
    <w:uiPriority w:val="22"/>
    <w:qFormat/>
    <w:rsid w:val="00D31F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9503">
      <w:bodyDiv w:val="1"/>
      <w:marLeft w:val="0"/>
      <w:marRight w:val="0"/>
      <w:marTop w:val="0"/>
      <w:marBottom w:val="0"/>
      <w:divBdr>
        <w:top w:val="none" w:sz="0" w:space="0" w:color="auto"/>
        <w:left w:val="none" w:sz="0" w:space="0" w:color="auto"/>
        <w:bottom w:val="none" w:sz="0" w:space="0" w:color="auto"/>
        <w:right w:val="none" w:sz="0" w:space="0" w:color="auto"/>
      </w:divBdr>
    </w:div>
    <w:div w:id="138034276">
      <w:bodyDiv w:val="1"/>
      <w:marLeft w:val="0"/>
      <w:marRight w:val="0"/>
      <w:marTop w:val="0"/>
      <w:marBottom w:val="0"/>
      <w:divBdr>
        <w:top w:val="none" w:sz="0" w:space="0" w:color="auto"/>
        <w:left w:val="none" w:sz="0" w:space="0" w:color="auto"/>
        <w:bottom w:val="none" w:sz="0" w:space="0" w:color="auto"/>
        <w:right w:val="none" w:sz="0" w:space="0" w:color="auto"/>
      </w:divBdr>
      <w:divsChild>
        <w:div w:id="59065599">
          <w:marLeft w:val="0"/>
          <w:marRight w:val="0"/>
          <w:marTop w:val="0"/>
          <w:marBottom w:val="0"/>
          <w:divBdr>
            <w:top w:val="none" w:sz="0" w:space="0" w:color="auto"/>
            <w:left w:val="none" w:sz="0" w:space="0" w:color="auto"/>
            <w:bottom w:val="none" w:sz="0" w:space="0" w:color="auto"/>
            <w:right w:val="none" w:sz="0" w:space="0" w:color="auto"/>
          </w:divBdr>
          <w:divsChild>
            <w:div w:id="10598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9429">
      <w:bodyDiv w:val="1"/>
      <w:marLeft w:val="0"/>
      <w:marRight w:val="0"/>
      <w:marTop w:val="0"/>
      <w:marBottom w:val="0"/>
      <w:divBdr>
        <w:top w:val="none" w:sz="0" w:space="0" w:color="auto"/>
        <w:left w:val="none" w:sz="0" w:space="0" w:color="auto"/>
        <w:bottom w:val="none" w:sz="0" w:space="0" w:color="auto"/>
        <w:right w:val="none" w:sz="0" w:space="0" w:color="auto"/>
      </w:divBdr>
    </w:div>
    <w:div w:id="366420024">
      <w:bodyDiv w:val="1"/>
      <w:marLeft w:val="0"/>
      <w:marRight w:val="0"/>
      <w:marTop w:val="0"/>
      <w:marBottom w:val="0"/>
      <w:divBdr>
        <w:top w:val="none" w:sz="0" w:space="0" w:color="auto"/>
        <w:left w:val="none" w:sz="0" w:space="0" w:color="auto"/>
        <w:bottom w:val="none" w:sz="0" w:space="0" w:color="auto"/>
        <w:right w:val="none" w:sz="0" w:space="0" w:color="auto"/>
      </w:divBdr>
      <w:divsChild>
        <w:div w:id="793451855">
          <w:marLeft w:val="0"/>
          <w:marRight w:val="0"/>
          <w:marTop w:val="0"/>
          <w:marBottom w:val="0"/>
          <w:divBdr>
            <w:top w:val="none" w:sz="0" w:space="0" w:color="auto"/>
            <w:left w:val="none" w:sz="0" w:space="0" w:color="auto"/>
            <w:bottom w:val="none" w:sz="0" w:space="0" w:color="auto"/>
            <w:right w:val="none" w:sz="0" w:space="0" w:color="auto"/>
          </w:divBdr>
          <w:divsChild>
            <w:div w:id="5789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722">
      <w:bodyDiv w:val="1"/>
      <w:marLeft w:val="0"/>
      <w:marRight w:val="0"/>
      <w:marTop w:val="0"/>
      <w:marBottom w:val="0"/>
      <w:divBdr>
        <w:top w:val="none" w:sz="0" w:space="0" w:color="auto"/>
        <w:left w:val="none" w:sz="0" w:space="0" w:color="auto"/>
        <w:bottom w:val="none" w:sz="0" w:space="0" w:color="auto"/>
        <w:right w:val="none" w:sz="0" w:space="0" w:color="auto"/>
      </w:divBdr>
    </w:div>
    <w:div w:id="1399401042">
      <w:bodyDiv w:val="1"/>
      <w:marLeft w:val="0"/>
      <w:marRight w:val="0"/>
      <w:marTop w:val="0"/>
      <w:marBottom w:val="0"/>
      <w:divBdr>
        <w:top w:val="none" w:sz="0" w:space="0" w:color="auto"/>
        <w:left w:val="none" w:sz="0" w:space="0" w:color="auto"/>
        <w:bottom w:val="none" w:sz="0" w:space="0" w:color="auto"/>
        <w:right w:val="none" w:sz="0" w:space="0" w:color="auto"/>
      </w:divBdr>
      <w:divsChild>
        <w:div w:id="599145298">
          <w:marLeft w:val="0"/>
          <w:marRight w:val="0"/>
          <w:marTop w:val="0"/>
          <w:marBottom w:val="0"/>
          <w:divBdr>
            <w:top w:val="none" w:sz="0" w:space="0" w:color="auto"/>
            <w:left w:val="none" w:sz="0" w:space="0" w:color="auto"/>
            <w:bottom w:val="none" w:sz="0" w:space="0" w:color="auto"/>
            <w:right w:val="none" w:sz="0" w:space="0" w:color="auto"/>
          </w:divBdr>
          <w:divsChild>
            <w:div w:id="16504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3964">
      <w:bodyDiv w:val="1"/>
      <w:marLeft w:val="0"/>
      <w:marRight w:val="0"/>
      <w:marTop w:val="0"/>
      <w:marBottom w:val="0"/>
      <w:divBdr>
        <w:top w:val="none" w:sz="0" w:space="0" w:color="auto"/>
        <w:left w:val="none" w:sz="0" w:space="0" w:color="auto"/>
        <w:bottom w:val="none" w:sz="0" w:space="0" w:color="auto"/>
        <w:right w:val="none" w:sz="0" w:space="0" w:color="auto"/>
      </w:divBdr>
    </w:div>
    <w:div w:id="1440176248">
      <w:bodyDiv w:val="1"/>
      <w:marLeft w:val="0"/>
      <w:marRight w:val="0"/>
      <w:marTop w:val="0"/>
      <w:marBottom w:val="0"/>
      <w:divBdr>
        <w:top w:val="none" w:sz="0" w:space="0" w:color="auto"/>
        <w:left w:val="none" w:sz="0" w:space="0" w:color="auto"/>
        <w:bottom w:val="none" w:sz="0" w:space="0" w:color="auto"/>
        <w:right w:val="none" w:sz="0" w:space="0" w:color="auto"/>
      </w:divBdr>
    </w:div>
    <w:div w:id="1608584971">
      <w:bodyDiv w:val="1"/>
      <w:marLeft w:val="0"/>
      <w:marRight w:val="0"/>
      <w:marTop w:val="0"/>
      <w:marBottom w:val="0"/>
      <w:divBdr>
        <w:top w:val="none" w:sz="0" w:space="0" w:color="auto"/>
        <w:left w:val="none" w:sz="0" w:space="0" w:color="auto"/>
        <w:bottom w:val="none" w:sz="0" w:space="0" w:color="auto"/>
        <w:right w:val="none" w:sz="0" w:space="0" w:color="auto"/>
      </w:divBdr>
    </w:div>
    <w:div w:id="1745030321">
      <w:bodyDiv w:val="1"/>
      <w:marLeft w:val="0"/>
      <w:marRight w:val="0"/>
      <w:marTop w:val="0"/>
      <w:marBottom w:val="0"/>
      <w:divBdr>
        <w:top w:val="none" w:sz="0" w:space="0" w:color="auto"/>
        <w:left w:val="none" w:sz="0" w:space="0" w:color="auto"/>
        <w:bottom w:val="none" w:sz="0" w:space="0" w:color="auto"/>
        <w:right w:val="none" w:sz="0" w:space="0" w:color="auto"/>
      </w:divBdr>
    </w:div>
    <w:div w:id="1880043630">
      <w:bodyDiv w:val="1"/>
      <w:marLeft w:val="0"/>
      <w:marRight w:val="0"/>
      <w:marTop w:val="0"/>
      <w:marBottom w:val="0"/>
      <w:divBdr>
        <w:top w:val="none" w:sz="0" w:space="0" w:color="auto"/>
        <w:left w:val="none" w:sz="0" w:space="0" w:color="auto"/>
        <w:bottom w:val="none" w:sz="0" w:space="0" w:color="auto"/>
        <w:right w:val="none" w:sz="0" w:space="0" w:color="auto"/>
      </w:divBdr>
    </w:div>
    <w:div w:id="1934240730">
      <w:bodyDiv w:val="1"/>
      <w:marLeft w:val="0"/>
      <w:marRight w:val="0"/>
      <w:marTop w:val="0"/>
      <w:marBottom w:val="0"/>
      <w:divBdr>
        <w:top w:val="none" w:sz="0" w:space="0" w:color="auto"/>
        <w:left w:val="none" w:sz="0" w:space="0" w:color="auto"/>
        <w:bottom w:val="none" w:sz="0" w:space="0" w:color="auto"/>
        <w:right w:val="none" w:sz="0" w:space="0" w:color="auto"/>
      </w:divBdr>
      <w:divsChild>
        <w:div w:id="977957317">
          <w:marLeft w:val="0"/>
          <w:marRight w:val="0"/>
          <w:marTop w:val="0"/>
          <w:marBottom w:val="0"/>
          <w:divBdr>
            <w:top w:val="none" w:sz="0" w:space="0" w:color="auto"/>
            <w:left w:val="none" w:sz="0" w:space="0" w:color="auto"/>
            <w:bottom w:val="none" w:sz="0" w:space="0" w:color="auto"/>
            <w:right w:val="none" w:sz="0" w:space="0" w:color="auto"/>
          </w:divBdr>
          <w:divsChild>
            <w:div w:id="215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3303">
      <w:bodyDiv w:val="1"/>
      <w:marLeft w:val="0"/>
      <w:marRight w:val="0"/>
      <w:marTop w:val="0"/>
      <w:marBottom w:val="0"/>
      <w:divBdr>
        <w:top w:val="none" w:sz="0" w:space="0" w:color="auto"/>
        <w:left w:val="none" w:sz="0" w:space="0" w:color="auto"/>
        <w:bottom w:val="none" w:sz="0" w:space="0" w:color="auto"/>
        <w:right w:val="none" w:sz="0" w:space="0" w:color="auto"/>
      </w:divBdr>
    </w:div>
    <w:div w:id="21180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Sivashini B</dc:creator>
  <cp:keywords/>
  <dc:description/>
  <cp:lastModifiedBy>Sivashini B</cp:lastModifiedBy>
  <cp:revision>1</cp:revision>
  <dcterms:created xsi:type="dcterms:W3CDTF">2025-06-20T12:32:00Z</dcterms:created>
  <dcterms:modified xsi:type="dcterms:W3CDTF">2025-06-20T13:06:00Z</dcterms:modified>
</cp:coreProperties>
</file>