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drawing>
          <wp:inline distT="0" distB="0" distL="0" distR="0">
            <wp:extent cx="1708150" cy="75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708150" cy="758825"/>
                    </a:xfrm>
                    <a:prstGeom prst="rect">
                      <a:avLst/>
                    </a:prstGeom>
                    <a:noFill/>
                  </pic:spPr>
                </pic:pic>
              </a:graphicData>
            </a:graphic>
          </wp:inline>
        </w:drawing>
      </w:r>
    </w:p>
    <w:p>
      <w:pPr>
        <w:pStyle w:val="Normal"/>
        <w:spacing w:before="0" w:after="10"/>
        <w:jc w:val="center"/>
        <w:rPr>
          <w:b/>
          <w:bCs/>
        </w:rPr>
      </w:pPr>
      <w:r>
        <w:rPr>
          <w:b/>
          <w:bCs/>
          <w:i/>
          <w:iCs/>
          <w:color w:val="595959"/>
          <w:sz w:val="18"/>
          <w:szCs w:val="18"/>
        </w:rPr>
        <w:t>Sole Authorised Distributor of EZOFIS in Malaysia &amp; Southeast Asia</w:t>
      </w:r>
    </w:p>
    <w:p>
      <w:pPr>
        <w:pStyle w:val="Normal"/>
        <w:spacing w:before="0" w:after="10"/>
        <w:jc w:val="center"/>
        <w:rPr/>
      </w:pPr>
      <w:r>
        <w:rPr>
          <w:color w:val="595959"/>
          <w:sz w:val="15"/>
          <w:szCs w:val="15"/>
        </w:rPr>
        <w:t>Unit 2-1, Level 2, Tower 3, UOA Business Park, Jalan Pengaturcara U1/51A, 40150 Shah Alam, Selangor</w:t>
      </w:r>
    </w:p>
    <w:p>
      <w:pPr>
        <w:pStyle w:val="Normal"/>
        <w:pBdr>
          <w:bottom w:val="single" w:sz="12" w:space="6" w:color="2E75B6"/>
        </w:pBdr>
        <w:spacing w:before="0" w:after="240"/>
        <w:jc w:val="center"/>
        <w:rPr/>
      </w:pPr>
      <w:r>
        <w:rPr>
          <w:color w:val="595959"/>
          <w:sz w:val="15"/>
          <w:szCs w:val="15"/>
        </w:rPr>
        <w:t>Co. Reg. No. 1410488-W •  Tel: +603-8084 3177 • ask@quanticslt.com</w:t>
      </w:r>
    </w:p>
    <w:p>
      <w:pPr>
        <w:pStyle w:val="Normal"/>
        <w:spacing w:before="200" w:after="60"/>
        <w:jc w:val="center"/>
        <w:rPr/>
      </w:pPr>
      <w:r>
        <w:rPr>
          <w:b/>
          <w:bCs/>
          <w:color w:val="1F3864"/>
          <w:sz w:val="40"/>
          <w:szCs w:val="40"/>
        </w:rPr>
        <w:t>CERTIFICATE OF SOFTWARE LICENCE</w:t>
      </w:r>
    </w:p>
    <w:p>
      <w:pPr>
        <w:pStyle w:val="Normal"/>
        <w:spacing w:before="0" w:after="40"/>
        <w:jc w:val="center"/>
        <w:rPr/>
      </w:pPr>
      <w:r>
        <w:rPr>
          <w:color w:val="2E75B6"/>
          <w:sz w:val="24"/>
          <w:szCs w:val="24"/>
        </w:rPr>
        <w:t>Subscription Renewal — Year 3</w:t>
      </w:r>
    </w:p>
    <w:p>
      <w:pPr>
        <w:pStyle w:val="Normal"/>
        <w:spacing w:before="0" w:after="320"/>
        <w:jc w:val="center"/>
        <w:rPr/>
      </w:pPr>
      <w:r>
        <w:rPr>
          <w:color w:val="595959"/>
          <w:sz w:val="18"/>
          <w:szCs w:val="18"/>
        </w:rPr>
        <w:t>Certificate No: QS/EZ/ISF/2026/001</w:t>
      </w:r>
    </w:p>
    <w:p>
      <w:pPr>
        <w:pStyle w:val="Normal"/>
        <w:spacing w:lineRule="auto" w:line="288" w:before="0" w:after="220"/>
        <w:jc w:val="both"/>
        <w:rPr/>
      </w:pPr>
      <w:r>
        <w:rPr/>
        <w:t xml:space="preserve">This is to certify that </w:t>
      </w:r>
      <w:r>
        <w:rPr>
          <w:b/>
          <w:bCs/>
        </w:rPr>
        <w:t>INTERCONTINENTAL SPECIALTY FATS SDN. BHD.</w:t>
      </w:r>
      <w:r>
        <w:rPr/>
        <w:t>, a company incorporated in Malaysia and having its registered place of business at Lot 4, Solok Hishamuddin 9/20, Kawasan Perusahaan, Kawasan Perindustrian Selat Klang Utara, 42009 Port Klang, Selangor (the “Licensee”), is the holder of a valid and subsisting subscription licence to use the EZOFIS platform (the “Software”). The licence is supplied, supported and administered by Quantic Solutions Sdn Bhd, the sole authorised distributor of EZOFIS in Malaysia, under and subject to the terms of the prevailing subscription agreement between the parties. The Licensee’s subscription has been duly renewed for its third (Year 3) annual term, entitling the Licensee to continued use of the Software, together with the applicable product updates and technical support, for the licence particulars and validity period set out below.</w:t>
      </w:r>
    </w:p>
    <w:tbl>
      <w:tblPr>
        <w:tblW w:w="9026" w:type="dxa"/>
        <w:jc w:val="start"/>
        <w:tblInd w:w="0" w:type="dxa"/>
        <w:tblLayout w:type="fixed"/>
        <w:tblCellMar>
          <w:top w:w="70" w:type="dxa"/>
          <w:start w:w="160" w:type="dxa"/>
          <w:bottom w:w="70" w:type="dxa"/>
          <w:end w:w="120" w:type="dxa"/>
        </w:tblCellMar>
        <w:tblLook w:noHBand="0" w:noVBand="1" w:firstColumn="1" w:lastRow="0" w:lastColumn="0" w:firstRow="1" w:val="04a0"/>
      </w:tblPr>
      <w:tblGrid>
        <w:gridCol w:w="3199"/>
        <w:gridCol w:w="5827"/>
      </w:tblGrid>
      <w:tr>
        <w:trPr/>
        <w:tc>
          <w:tcPr>
            <w:tcW w:w="3199"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b/>
                <w:bCs/>
                <w:color w:val="1F3864"/>
                <w:sz w:val="21"/>
                <w:szCs w:val="21"/>
              </w:rPr>
              <w:t>Licensee</w:t>
            </w:r>
          </w:p>
        </w:tc>
        <w:tc>
          <w:tcPr>
            <w:tcW w:w="5827"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b/>
                <w:bCs/>
              </w:rPr>
            </w:pPr>
            <w:r>
              <w:rPr>
                <w:b/>
                <w:bCs/>
                <w:color w:val="222222"/>
                <w:sz w:val="21"/>
                <w:szCs w:val="21"/>
              </w:rPr>
              <w:t>Intercontinental Specialty Fats Sdn. Bhd.</w:t>
            </w:r>
          </w:p>
        </w:tc>
      </w:tr>
      <w:tr>
        <w:trPr/>
        <w:tc>
          <w:tcPr>
            <w:tcW w:w="3199"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pPr>
            <w:r>
              <w:rPr>
                <w:b/>
                <w:bCs/>
                <w:color w:val="1F3864"/>
                <w:sz w:val="21"/>
                <w:szCs w:val="21"/>
              </w:rPr>
              <w:t>Product</w:t>
            </w:r>
          </w:p>
        </w:tc>
        <w:tc>
          <w:tcPr>
            <w:tcW w:w="5827"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highlight w:val="none"/>
                <w:shd w:fill="FFFFA6" w:val="clear"/>
              </w:rPr>
            </w:pPr>
            <w:r>
              <w:rPr>
                <w:color w:val="222222"/>
                <w:sz w:val="21"/>
                <w:szCs w:val="21"/>
                <w:shd w:fill="FFFFA6" w:val="clear"/>
              </w:rPr>
              <w:t>EZOFIS — AI-Powered Document Management &amp; Workflow Automation</w:t>
            </w:r>
          </w:p>
        </w:tc>
      </w:tr>
      <w:tr>
        <w:trPr/>
        <w:tc>
          <w:tcPr>
            <w:tcW w:w="3199"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b/>
                <w:bCs/>
                <w:color w:val="1F3864"/>
                <w:sz w:val="21"/>
                <w:szCs w:val="21"/>
              </w:rPr>
              <w:t>Edition / Module</w:t>
            </w:r>
          </w:p>
        </w:tc>
        <w:tc>
          <w:tcPr>
            <w:tcW w:w="5827"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color w:val="222222"/>
                <w:sz w:val="21"/>
                <w:szCs w:val="21"/>
              </w:rPr>
              <w:t xml:space="preserve">Standard Edition </w:t>
            </w:r>
          </w:p>
        </w:tc>
      </w:tr>
      <w:tr>
        <w:trPr/>
        <w:tc>
          <w:tcPr>
            <w:tcW w:w="3199"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pPr>
            <w:r>
              <w:rPr>
                <w:b/>
                <w:bCs/>
                <w:color w:val="1F3864"/>
                <w:sz w:val="21"/>
                <w:szCs w:val="21"/>
              </w:rPr>
              <w:t>Number of Licences</w:t>
            </w:r>
          </w:p>
        </w:tc>
        <w:tc>
          <w:tcPr>
            <w:tcW w:w="5827"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pPr>
            <w:r>
              <w:rPr>
                <w:color w:val="222222"/>
                <w:sz w:val="21"/>
                <w:szCs w:val="21"/>
              </w:rPr>
              <w:t>15 (fifteen) named user licences</w:t>
            </w:r>
          </w:p>
        </w:tc>
      </w:tr>
      <w:tr>
        <w:trPr/>
        <w:tc>
          <w:tcPr>
            <w:tcW w:w="3199"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b/>
                <w:bCs/>
                <w:color w:val="1F3864"/>
                <w:sz w:val="21"/>
                <w:szCs w:val="21"/>
              </w:rPr>
              <w:t>Subscription Term</w:t>
            </w:r>
          </w:p>
        </w:tc>
        <w:tc>
          <w:tcPr>
            <w:tcW w:w="5827"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color w:val="222222"/>
                <w:sz w:val="21"/>
                <w:szCs w:val="21"/>
              </w:rPr>
              <w:t>Year 3 — Annual subscription (12-month period)</w:t>
            </w:r>
          </w:p>
        </w:tc>
      </w:tr>
      <w:tr>
        <w:trPr/>
        <w:tc>
          <w:tcPr>
            <w:tcW w:w="3199"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pPr>
            <w:r>
              <w:rPr>
                <w:b/>
                <w:bCs/>
                <w:color w:val="1F3864"/>
                <w:sz w:val="21"/>
                <w:szCs w:val="21"/>
              </w:rPr>
              <w:t>Valid From</w:t>
            </w:r>
          </w:p>
        </w:tc>
        <w:tc>
          <w:tcPr>
            <w:tcW w:w="5827"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pPr>
            <w:r>
              <w:rPr>
                <w:color w:val="222222"/>
                <w:sz w:val="21"/>
                <w:szCs w:val="21"/>
              </w:rPr>
              <w:t>07 April 2026</w:t>
            </w:r>
          </w:p>
        </w:tc>
      </w:tr>
      <w:tr>
        <w:trPr/>
        <w:tc>
          <w:tcPr>
            <w:tcW w:w="3199"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b/>
                <w:bCs/>
                <w:color w:val="1F3864"/>
                <w:sz w:val="21"/>
                <w:szCs w:val="21"/>
              </w:rPr>
              <w:t>Valid Until</w:t>
            </w:r>
          </w:p>
        </w:tc>
        <w:tc>
          <w:tcPr>
            <w:tcW w:w="5827"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color w:val="222222"/>
                <w:sz w:val="21"/>
                <w:szCs w:val="21"/>
              </w:rPr>
              <w:t>06 April 2027</w:t>
            </w:r>
          </w:p>
        </w:tc>
      </w:tr>
      <w:tr>
        <w:trPr/>
        <w:tc>
          <w:tcPr>
            <w:tcW w:w="3199"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pPr>
            <w:r>
              <w:rPr>
                <w:b/>
                <w:bCs/>
                <w:color w:val="1F3864"/>
                <w:sz w:val="21"/>
                <w:szCs w:val="21"/>
              </w:rPr>
              <w:t>Distributor</w:t>
            </w:r>
          </w:p>
        </w:tc>
        <w:tc>
          <w:tcPr>
            <w:tcW w:w="5827" w:type="dxa"/>
            <w:tcBorders>
              <w:top w:val="single" w:sz="2" w:space="0" w:color="DDDDDD"/>
              <w:start w:val="single" w:sz="2" w:space="0" w:color="DDDDDD"/>
              <w:bottom w:val="single" w:sz="2" w:space="0" w:color="DDDDDD"/>
              <w:end w:val="single" w:sz="2" w:space="0" w:color="DDDDDD"/>
            </w:tcBorders>
            <w:shd w:color="auto" w:fill="FFFFFF" w:val="clear"/>
            <w:vAlign w:val="center"/>
          </w:tcPr>
          <w:p>
            <w:pPr>
              <w:pStyle w:val="Normal"/>
              <w:rPr/>
            </w:pPr>
            <w:r>
              <w:rPr>
                <w:color w:val="222222"/>
                <w:sz w:val="21"/>
                <w:szCs w:val="21"/>
              </w:rPr>
              <w:t>Quantic Solutions Sdn Bhd</w:t>
            </w:r>
          </w:p>
        </w:tc>
      </w:tr>
      <w:tr>
        <w:trPr/>
        <w:tc>
          <w:tcPr>
            <w:tcW w:w="3199"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b/>
                <w:bCs/>
                <w:color w:val="1F3864"/>
                <w:sz w:val="21"/>
                <w:szCs w:val="21"/>
              </w:rPr>
              <w:t>Date of Issue</w:t>
            </w:r>
          </w:p>
        </w:tc>
        <w:tc>
          <w:tcPr>
            <w:tcW w:w="5827" w:type="dxa"/>
            <w:tcBorders>
              <w:top w:val="single" w:sz="2" w:space="0" w:color="DDDDDD"/>
              <w:start w:val="single" w:sz="2" w:space="0" w:color="DDDDDD"/>
              <w:bottom w:val="single" w:sz="2" w:space="0" w:color="DDDDDD"/>
              <w:end w:val="single" w:sz="2" w:space="0" w:color="DDDDDD"/>
            </w:tcBorders>
            <w:shd w:color="auto" w:fill="F2F5FA" w:val="clear"/>
            <w:vAlign w:val="center"/>
          </w:tcPr>
          <w:p>
            <w:pPr>
              <w:pStyle w:val="Normal"/>
              <w:rPr/>
            </w:pPr>
            <w:r>
              <w:rPr>
                <w:color w:val="222222"/>
                <w:sz w:val="21"/>
                <w:szCs w:val="21"/>
              </w:rPr>
              <w:t>4 June 2026</w:t>
            </w:r>
          </w:p>
        </w:tc>
      </w:tr>
    </w:tbl>
    <w:p>
      <w:pPr>
        <w:pStyle w:val="Normal"/>
        <w:spacing w:lineRule="auto" w:line="283" w:before="160" w:after="140"/>
        <w:jc w:val="both"/>
        <w:rPr/>
      </w:pPr>
      <w:r>
        <w:rPr/>
        <w:t>This certificate confirms the licensee's entitlement to use the EZOFIS platform for the term stated above, including the standard product updates and technical support provided under the subscription. This document is issued for the licensee's records and may be used for internal audit, procurement, and IT asset management purposes.</w:t>
      </w:r>
    </w:p>
    <w:p>
      <w:pPr>
        <w:pStyle w:val="Normal"/>
        <w:spacing w:before="180" w:after="0"/>
        <w:rPr/>
      </w:pPr>
      <w:r>
        <w:rPr>
          <w:color w:val="595959"/>
          <w:sz w:val="20"/>
          <w:szCs w:val="20"/>
        </w:rPr>
        <w:t>Signed for and on behalf of Quantic Solutions Sdn Bhd:</w:t>
      </w:r>
    </w:p>
    <w:tbl>
      <w:tblPr>
        <w:tblW w:w="9026" w:type="dxa"/>
        <w:jc w:val="start"/>
        <w:tblInd w:w="0" w:type="dxa"/>
        <w:tblLayout w:type="fixed"/>
        <w:tblCellMar>
          <w:top w:w="0" w:type="dxa"/>
          <w:start w:w="0" w:type="dxa"/>
          <w:bottom w:w="0" w:type="dxa"/>
          <w:end w:w="120" w:type="dxa"/>
        </w:tblCellMar>
        <w:tblLook w:noHBand="0" w:noVBand="1" w:firstColumn="1" w:lastRow="0" w:lastColumn="0" w:firstRow="1" w:val="04a0"/>
      </w:tblPr>
      <w:tblGrid>
        <w:gridCol w:w="5599"/>
        <w:gridCol w:w="3427"/>
      </w:tblGrid>
      <w:tr>
        <w:trPr/>
        <w:tc>
          <w:tcPr>
            <w:tcW w:w="5599" w:type="dxa"/>
            <w:tcBorders/>
            <w:vAlign w:val="bottom"/>
          </w:tcPr>
          <w:p>
            <w:pPr>
              <w:pStyle w:val="Normal"/>
              <w:pBdr>
                <w:bottom w:val="single" w:sz="6" w:space="2" w:color="999999"/>
              </w:pBdr>
              <w:spacing w:before="540" w:after="0"/>
              <w:rPr/>
            </w:pPr>
            <w:r>
              <w:rPr/>
            </w:r>
          </w:p>
          <w:p>
            <w:pPr>
              <w:pStyle w:val="Normal"/>
              <w:spacing w:before="60" w:after="0"/>
              <w:rPr/>
            </w:pPr>
            <w:r>
              <w:rPr>
                <w:b/>
                <w:bCs/>
                <w:color w:val="1F3864"/>
              </w:rPr>
              <w:t>Kenneth Wong</w:t>
            </w:r>
          </w:p>
          <w:p>
            <w:pPr>
              <w:pStyle w:val="Normal"/>
              <w:rPr/>
            </w:pPr>
            <w:r>
              <w:rPr>
                <w:color w:val="595959"/>
                <w:sz w:val="20"/>
                <w:szCs w:val="20"/>
              </w:rPr>
              <w:t>Country Sales Director</w:t>
            </w:r>
          </w:p>
          <w:p>
            <w:pPr>
              <w:pStyle w:val="Normal"/>
              <w:rPr/>
            </w:pPr>
            <w:r>
              <w:rPr>
                <w:color w:val="595959"/>
                <w:sz w:val="20"/>
                <w:szCs w:val="20"/>
              </w:rPr>
              <w:t>Quantic Solutions Sdn Bhd</w:t>
            </w:r>
          </w:p>
        </w:tc>
        <w:tc>
          <w:tcPr>
            <w:tcW w:w="3427" w:type="dxa"/>
            <w:tcBorders/>
            <w:tcMar>
              <w:start w:w="120" w:type="dxa"/>
              <w:end w:w="0" w:type="dxa"/>
            </w:tcMar>
            <w:vAlign w:val="center"/>
          </w:tcPr>
          <w:p>
            <w:pPr>
              <w:pStyle w:val="Normal"/>
              <w:jc w:val="center"/>
              <w:rPr/>
            </w:pPr>
            <w:r>
              <w:rPr/>
              <w:drawing>
                <wp:inline distT="0" distB="0" distL="0" distR="0">
                  <wp:extent cx="1123950" cy="1123950"/>
                  <wp:effectExtent l="0" t="0" r="0" b="0"/>
                  <wp:docPr id="2" name="Picture 93703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37030937"/>
                          <pic:cNvPicPr>
                            <a:picLocks noChangeAspect="1" noChangeArrowheads="1"/>
                          </pic:cNvPicPr>
                        </pic:nvPicPr>
                        <pic:blipFill>
                          <a:blip r:embed="rId3"/>
                          <a:stretch>
                            <a:fillRect/>
                          </a:stretch>
                        </pic:blipFill>
                        <pic:spPr bwMode="auto">
                          <a:xfrm>
                            <a:off x="0" y="0"/>
                            <a:ext cx="1123950" cy="1123950"/>
                          </a:xfrm>
                          <a:prstGeom prst="rect">
                            <a:avLst/>
                          </a:prstGeom>
                          <a:noFill/>
                        </pic:spPr>
                      </pic:pic>
                    </a:graphicData>
                  </a:graphic>
                </wp:inline>
              </w:drawing>
            </w:r>
          </w:p>
        </w:tc>
      </w:tr>
    </w:tbl>
    <w:p>
      <w:pPr>
        <w:pStyle w:val="Normal"/>
        <w:rPr/>
      </w:pPr>
      <w:r>
        <w:rPr/>
        <w:t>4</w:t>
      </w:r>
      <w:r>
        <w:rPr>
          <w:vertAlign w:val="superscript"/>
        </w:rPr>
        <w:t>th</w:t>
      </w:r>
      <w:r>
        <w:rPr/>
        <w:t xml:space="preserve"> of June 2026</w:t>
      </w:r>
    </w:p>
    <w:sectPr>
      <w:footerReference w:type="even" r:id="rId4"/>
      <w:footerReference w:type="default" r:id="rId5"/>
      <w:footerReference w:type="first" r:id="rId6"/>
      <w:type w:val="nextPage"/>
      <w:pgSz w:w="11906" w:h="16838"/>
      <w:pgMar w:left="1440" w:right="1440" w:gutter="0" w:header="0" w:top="850" w:footer="36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rial">
    <w:charset w:val="01"/>
    <w:family w:val="swiss"/>
    <w:pitch w:val="variable"/>
  </w:font>
  <w:font w:name="Carlito">
    <w:altName w:val="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8" w:color="2E75B6"/>
      </w:pBdr>
      <w:spacing w:before="0" w:after="20"/>
      <w:jc w:val="center"/>
      <w:rPr/>
    </w:pPr>
    <w:r>
      <w:rPr/>
      <w:drawing>
        <wp:inline distT="0" distB="0" distL="0" distR="0">
          <wp:extent cx="1104900" cy="276225"/>
          <wp:effectExtent l="0" t="0" r="0" b="0"/>
          <wp:docPr id="3" name="Picture 86173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61733599"/>
                  <pic:cNvPicPr>
                    <a:picLocks noChangeAspect="1" noChangeArrowheads="1"/>
                  </pic:cNvPicPr>
                </pic:nvPicPr>
                <pic:blipFill>
                  <a:blip r:embed="rId1"/>
                  <a:stretch>
                    <a:fillRect/>
                  </a:stretch>
                </pic:blipFill>
                <pic:spPr bwMode="auto">
                  <a:xfrm>
                    <a:off x="0" y="0"/>
                    <a:ext cx="1104900" cy="276225"/>
                  </a:xfrm>
                  <a:prstGeom prst="rect">
                    <a:avLst/>
                  </a:prstGeom>
                  <a:noFill/>
                </pic:spPr>
              </pic:pic>
            </a:graphicData>
          </a:graphic>
        </wp:inline>
      </w:drawing>
    </w:r>
  </w:p>
  <w:p>
    <w:pPr>
      <w:pStyle w:val="Normal"/>
      <w:jc w:val="center"/>
      <w:rPr/>
    </w:pPr>
    <w:r>
      <w:rPr>
        <w:color w:val="595959"/>
        <w:sz w:val="15"/>
        <w:szCs w:val="15"/>
      </w:rPr>
      <w:t>Sole Authorised Distributor of EZOFIS in Malaysia &amp; Southeast Asia • Quantic Solutions Sdn Bhd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8" w:color="2E75B6"/>
      </w:pBdr>
      <w:spacing w:before="0" w:after="20"/>
      <w:jc w:val="center"/>
      <w:rPr/>
    </w:pPr>
    <w:r>
      <w:rPr/>
      <w:drawing>
        <wp:inline distT="0" distB="0" distL="0" distR="0">
          <wp:extent cx="1104900" cy="276225"/>
          <wp:effectExtent l="0" t="0" r="0" b="0"/>
          <wp:docPr id="4" name="Picture 86173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61733599"/>
                  <pic:cNvPicPr>
                    <a:picLocks noChangeAspect="1" noChangeArrowheads="1"/>
                  </pic:cNvPicPr>
                </pic:nvPicPr>
                <pic:blipFill>
                  <a:blip r:embed="rId1"/>
                  <a:stretch>
                    <a:fillRect/>
                  </a:stretch>
                </pic:blipFill>
                <pic:spPr bwMode="auto">
                  <a:xfrm>
                    <a:off x="0" y="0"/>
                    <a:ext cx="1104900" cy="276225"/>
                  </a:xfrm>
                  <a:prstGeom prst="rect">
                    <a:avLst/>
                  </a:prstGeom>
                  <a:noFill/>
                </pic:spPr>
              </pic:pic>
            </a:graphicData>
          </a:graphic>
        </wp:inline>
      </w:drawing>
    </w:r>
  </w:p>
  <w:p>
    <w:pPr>
      <w:pStyle w:val="Normal"/>
      <w:jc w:val="center"/>
      <w:rPr/>
    </w:pPr>
    <w:r>
      <w:rPr>
        <w:color w:val="595959"/>
        <w:sz w:val="15"/>
        <w:szCs w:val="15"/>
      </w:rPr>
      <w:t>Sole Authorised Distributor of EZOFIS in Malaysia &amp; Southeast Asia • Quantic Solutions Sdn Bhd</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M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MY" w:eastAsia="en-MY"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en-MY" w:eastAsia="en-MY" w:bidi="ar-SA"/>
    </w:rPr>
  </w:style>
  <w:style w:type="paragraph" w:styleId="Heading1">
    <w:name w:val="heading 1"/>
    <w:uiPriority w:val="9"/>
    <w:qFormat/>
    <w:pPr>
      <w:widowControl/>
      <w:bidi w:val="0"/>
      <w:spacing w:before="0" w:after="0"/>
      <w:jc w:val="start"/>
      <w:outlineLvl w:val="0"/>
    </w:pPr>
    <w:rPr>
      <w:rFonts w:ascii="Arial" w:hAnsi="Arial" w:eastAsia="Arial" w:cs="Arial"/>
      <w:color w:val="2E74B5"/>
      <w:kern w:val="0"/>
      <w:sz w:val="32"/>
      <w:szCs w:val="32"/>
      <w:lang w:val="en-MY" w:eastAsia="en-MY" w:bidi="ar-SA"/>
    </w:rPr>
  </w:style>
  <w:style w:type="paragraph" w:styleId="Heading2">
    <w:name w:val="heading 2"/>
    <w:uiPriority w:val="9"/>
    <w:semiHidden/>
    <w:unhideWhenUsed/>
    <w:qFormat/>
    <w:pPr>
      <w:widowControl/>
      <w:bidi w:val="0"/>
      <w:spacing w:before="0" w:after="0"/>
      <w:jc w:val="start"/>
      <w:outlineLvl w:val="1"/>
    </w:pPr>
    <w:rPr>
      <w:rFonts w:ascii="Arial" w:hAnsi="Arial" w:eastAsia="Arial" w:cs="Arial"/>
      <w:color w:val="2E74B5"/>
      <w:kern w:val="0"/>
      <w:sz w:val="26"/>
      <w:szCs w:val="26"/>
      <w:lang w:val="en-MY" w:eastAsia="en-MY"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en-MY" w:eastAsia="en-MY"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2"/>
      <w:szCs w:val="22"/>
      <w:lang w:val="en-MY" w:eastAsia="en-MY"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2"/>
      <w:szCs w:val="22"/>
      <w:lang w:val="en-MY" w:eastAsia="en-MY"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2"/>
      <w:szCs w:val="22"/>
      <w:lang w:val="en-MY" w:eastAsia="en-MY" w:bidi="ar-SA"/>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character" w:styleId="HeaderChar" w:customStyle="1">
    <w:name w:val="Header Char"/>
    <w:basedOn w:val="DefaultParagraphFont"/>
    <w:link w:val="Header"/>
    <w:uiPriority w:val="99"/>
    <w:rsid w:val="005569df"/>
    <w:rPr/>
  </w:style>
  <w:style w:type="character" w:styleId="FooterChar" w:customStyle="1">
    <w:name w:val="Footer Char"/>
    <w:basedOn w:val="DefaultParagraphFont"/>
    <w:link w:val="Footer"/>
    <w:uiPriority w:val="99"/>
    <w:rsid w:val="005569df"/>
    <w:rPr/>
  </w:style>
  <w:style w:type="paragraph" w:styleId="Heading">
    <w:name w:val="Heading"/>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MY" w:eastAsia="en-MY"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2"/>
      <w:szCs w:val="22"/>
      <w:lang w:val="en-MY" w:eastAsia="en-MY"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MY" w:eastAsia="en-MY"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MY" w:eastAsia="en-MY"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MY" w:eastAsia="en-MY" w:bidi="ar-SA"/>
    </w:rPr>
  </w:style>
  <w:style w:type="paragraph" w:styleId="HeaderandFooter">
    <w:name w:val="Header and Footer"/>
    <w:basedOn w:val="Normal"/>
    <w:pPr/>
    <w:rPr/>
  </w:style>
  <w:style w:type="paragraph" w:styleId="Header">
    <w:name w:val="header"/>
    <w:basedOn w:val="Normal"/>
    <w:link w:val="HeaderChar"/>
    <w:uiPriority w:val="99"/>
    <w:unhideWhenUsed/>
    <w:rsid w:val="005569df"/>
    <w:pPr>
      <w:tabs>
        <w:tab w:val="clear" w:pos="720"/>
        <w:tab w:val="center" w:pos="4513" w:leader="none"/>
        <w:tab w:val="right" w:pos="9026" w:leader="none"/>
      </w:tabs>
    </w:pPr>
    <w:rPr/>
  </w:style>
  <w:style w:type="paragraph" w:styleId="Footer">
    <w:name w:val="footer"/>
    <w:basedOn w:val="Normal"/>
    <w:link w:val="FooterChar"/>
    <w:uiPriority w:val="99"/>
    <w:unhideWhenUsed/>
    <w:rsid w:val="005569df"/>
    <w:pPr>
      <w:tabs>
        <w:tab w:val="clear" w:pos="720"/>
        <w:tab w:val="center" w:pos="4513" w:leader="none"/>
        <w:tab w:val="right" w:pos="9026" w:leader="none"/>
      </w:tab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jpeg"/>
</Relationships>
</file>

<file path=word/_rels/footer3.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Collabora_Office/26.04.1.4$Linux_X86_64 LibreOffice_project/7d478de54b81a47d88ad4cf71180b9ceeb466848</Application>
  <AppVersion>15.0000</AppVersion>
  <Pages>1</Pages>
  <Words>324</Words>
  <Characters>1850</Characters>
  <CharactersWithSpaces>2147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2026-06-04T01:50:00Z</dcterms:created>
  <dc:creator>Un-named</dc:creator>
  <dc:description/>
  <dc:language>en-US</dc:language>
  <cp:lastModifiedBy/>
  <dcterms:modified xsi:type="dcterms:W3CDTF">2026-07-01T06:53:08Z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