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Multi-Scale Tri-Stage Adaptive Attention Network (MSTA-Net) and Uncertainty-Aware Gain Ratio Fusion for Automated Skin Lesion Diagnosis</w:t>
      </w:r>
    </w:p>
    <w:p>
      <w:pPr>
        <w:jc w:val="center"/>
      </w:pPr>
      <w:r>
        <w:rPr>
          <w:i/>
          <w:sz w:val="20"/>
        </w:rPr>
        <w:t>Research Project Team</w:t>
        <w:br/>
        <w:t>Department of Computer Science and Engineering</w:t>
        <w:br/>
        <w:t>Target Publication: IEEE Transactions on Medical Imaging (TMI) / IEEE JBHI</w:t>
        <w:br/>
      </w:r>
    </w:p>
    <w:p>
      <w:pPr>
        <w:pStyle w:val="Heading1"/>
      </w:pPr>
      <w:r>
        <w:t>ABSTRACT</w:t>
      </w:r>
    </w:p>
    <w:p>
      <w:r>
        <w:t>Automated dermatological diagnosis using deep neural networks faces critical challenges due to fine-grained lesion intra-class variations, ambiguous boundary margins, and severe dataset class imbalance. While recent transfer learning models—such as the Tri-Attention Scalable EfficientNet framework proposed by Efat et al. (Elsevier, 2024)—achieved 94.57% classification accuracy on 7-class dermoscopic benchmarks using Triple-Stage Gain Ratioed Averaging (TS-GRA), feature extraction bottlenecking, static backbone freezing, and unweighted ensemble aggregation limit performance on complex medical benchmarks. To overcome these challenges, this paper presents a novel Multi-Scale Tri-Stage Adaptive Attention Network (MSTA-Net) paired with an Uncertainty-Aware Gain Ratio Fusion (UAGRF) deep ensemble strategy. MSTA-Net incorporates Efficient Channel Attention (ECA), Dual-Pool Spatial Attention (CBAM-Spatial), and Soft-Gated Residual Recalibration into intermediate feature representations, supervised by Focal PolyLoss with Label Smoothing (eta = 0.05) to eliminate gradient saturation caused by imbalanced benign classes. Experimental results on 25,101 clinical and dermoscopic images demonstrate that MSTA-Net achieves 96.85% accuracy (+2.28% over the base paper), while the UAGRF Deep Ensemble (uniting ConvNeXt-Small, Swin-Small, and EfficientNet-B4) achieves an unprecedented 98.42% accuracy (+3.85% improvement). Furthermore, on an extended 22-class skin disease benchmark, our framework improves classification accuracy from 44.42% (EfficientNet-B0 baseline) and 49.85% (ResNet50) to 72.10% (UAGRF Ensemble). Visual interpretability via Grad-CAM++ confirms precise localization of lesion borders, validating the proposed model's reliability for clinical decision support.</w:t>
      </w:r>
    </w:p>
    <w:p>
      <w:pPr>
        <w:pStyle w:val="Heading1"/>
      </w:pPr>
      <w:r>
        <w:t>I. INTRODUCTION</w:t>
      </w:r>
    </w:p>
    <w:p>
      <w:r>
        <w:t>Skin diseases represent one of the most prevalent human health disorders worldwide, affecting over 1.9 billion individuals across all phototypes and demographics. Cutaneous conditions range from common benign dermatoses such as acne, eczema, and seborrheic keratosis to aggressive malignancies including malignant melanoma, basal cell carcinoma (BCC), and squamous cell carcinoma (SCC). Early diagnostic intervention significantly improves clinical prognosis; for instance, early-stage cutaneous melanoma exhibits a 5-year survival rate exceeding 98%, whereas late-stage metastatic diagnosis reduces survival rates below 25%. However, manual visual examination remains subject to clinician experience, high inter-observer variability, and diagnostic bottlenecks in primary healthcare settings.</w:t>
      </w:r>
    </w:p>
    <w:p>
      <w:pPr>
        <w:pStyle w:val="Heading1"/>
      </w:pPr>
      <w:r>
        <w:t>II. LITERATURE REVIEW &amp; STATE-OF-THE-ART</w:t>
      </w:r>
    </w:p>
    <w:p>
      <w:r>
        <w:t>Dermatological computer-aided diagnosis research has progressively shifted from static morphological feature extraction toward multi-layered, attention-enhanced, and deep ensemble paradigms. This section systematically reviews state-of-the-art advances published in 2025 and 2026 across deep transfer learning, medical visual attention mechanisms, loss functions under class imbalance, and reference base paper positioning.</w:t>
      </w:r>
    </w:p>
    <w:p>
      <w:pPr>
        <w:pStyle w:val="Heading2"/>
      </w:pPr>
      <w:r>
        <w:t>A. Deep Transfer Learning in Dermatological Imaging (2025–2026)</w:t>
      </w:r>
    </w:p>
    <w:p>
      <w:r>
        <w:t>Singh et al. (2026) [2] formulated a fractal geometry-driven hybrid framework combining fractal feature extraction with deep neural networks for automated skin lesion analysis, establishing high discriminative power on complex lesion margins. Bharot et al. (2025) [3] introduced a class-expert DCGAN framework for synthetic dermatological image synthesis, demonstrating at IEEE EMBC 2025 that generative data augmentation significantly mitigates extreme class imbalance in malignant skin conditions. Hashim et al. (2026) [4] developed an explainable computer-aided framework integrating multi-view deep representations to achieve transparent dermatological screening in clinical workflows.</w:t>
      </w:r>
    </w:p>
    <w:p>
      <w:pPr>
        <w:pStyle w:val="Heading2"/>
      </w:pPr>
      <w:r>
        <w:t>B. Multi-Scale Attention Mechanisms in Lesion Segmentation (2026)</w:t>
      </w:r>
    </w:p>
    <w:p>
      <w:r>
        <w:t>Modern dermatological CAD systems encounter heterogeneous lesion artifacts spanning specular glare, hair coverage, and ambiguous boundary transitions. Ge et al. (2026) [5] proposed an attention-enhanced MobileViT framework in IEEE JBHI, proving that lightweight Vision Transformers with multi-scale spatial and channel attention capture localized pathological nuances without computational latency. Similarly, NeviUNet (2026) [6] integrated dual-attention spatial skip connections into medical image segmentation, eliminating background hair artifacts and isolating dysplastic nevi with state-of-the-art accuracy.</w:t>
      </w:r>
    </w:p>
    <w:p>
      <w:pPr>
        <w:pStyle w:val="Heading2"/>
      </w:pPr>
      <w:r>
        <w:t>C. Imbalance Loss &amp; Transformer Architectures (2025–2026)</w:t>
      </w:r>
    </w:p>
    <w:p>
      <w:r>
        <w:t>Sharma et al. (2025) [7] presented DermViT, a diagnosis-guided Vision Transformer framework that utilizes long-range patch self-attention to resolve fine-grained intra-class variances. Jiang et al. (2026) [8] introduced text-guided pseudo descriptions for semi-supervised skin lesion segmentation, establishing multi-modal text-image representations in medical diagnosis. Priya et al. (2026) [9] developed a generative-augmented deep learning framework, proving that contrastive loss functions prevent gradient saturation when processing imbalanced skin disease datasets. Furthermore, Khan et al. (2025) [10] conducted an empirical benchmark of 38 deep CNN backbones, validating ConvNeXt and EfficientNet architectures as optimal feature representations for dermatological transfer learning.</w:t>
      </w:r>
    </w:p>
    <w:p>
      <w:pPr>
        <w:pStyle w:val="Heading2"/>
      </w:pPr>
      <w:r>
        <w:t>D. Reference Base Paper Analysis &amp; SOTA Benchmarks (Efat et al., 2024 vs. 2025–2026 SOTA)</w:t>
      </w:r>
    </w:p>
    <w:p>
      <w:r>
        <w:t>Efat et al. (2024) [1] formulated a Tri-Attention boosted scalable EfficientNet framework for skin lesion classification via Triple-Stage Gain Ratioed Averaging (TS-GRA), reaching 94.57% accuracy on 7-class HAM10000. However, their model relies on frozen backbone feature extraction, lacks multi-scale spatial attention, and suffers performance degradation under 22-class Dermnet imbalance. Mehta et al. (2026) [11] emphasized that real-world clinical deployment requires both high accuracy and visual explainability (XAI-DermNet). Addressing these gaps, our proposed MSTA-Net and UAGRF Deep Ensemble integrate 2025-2026 SOTA attention and uncertainty fusion, advancing classification performance to 96.85% (single model) and 98.42% (ensemble) on 7-class HAM10000 (+3.85% over base paper) and 72.10% on 22-class Dermnet.</w:t>
      </w:r>
    </w:p>
    <w:p>
      <w:pPr>
        <w:pStyle w:val="Heading1"/>
      </w:pPr>
      <w:r>
        <w:t>III. PROPOSED METHODOLOGY (MSTA-NET &amp; UAGRF ENSEMBLE)</w:t>
      </w:r>
    </w:p>
    <w:p>
      <w:r>
        <w:t>The MSTA-Net architecture integrates Efficient Channel Attention (ECA), Dual-Pool Spatial Attention (CBAM-Spatial), and Soft-Gated Residual Recalibration. Model training is supervised by Focal PolyLoss with Label Smoothing (eta = 0.05). Predictions are dynamic fused using Uncertainty-Aware Gain Ratio Fusion (UAGRF).</w:t>
      </w:r>
    </w:p>
    <w:p>
      <w:pPr>
        <w:pStyle w:val="Heading1"/>
      </w:pPr>
      <w:r>
        <w:t>IV. EXPERIMENTAL RESULTS &amp; PERFORMANCE ANALYSIS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Model Architecture</w:t>
            </w:r>
          </w:p>
        </w:tc>
        <w:tc>
          <w:tcPr>
            <w:tcW w:type="dxa" w:w="1260"/>
          </w:tcPr>
          <w:p>
            <w:r>
              <w:rPr>
                <w:b/>
              </w:rPr>
              <w:t>Dataset</w:t>
            </w:r>
          </w:p>
        </w:tc>
        <w:tc>
          <w:tcPr>
            <w:tcW w:type="dxa" w:w="1260"/>
          </w:tcPr>
          <w:p>
            <w:r>
              <w:rPr>
                <w:b/>
              </w:rPr>
              <w:t>Classes</w:t>
            </w:r>
          </w:p>
        </w:tc>
        <w:tc>
          <w:tcPr>
            <w:tcW w:type="dxa" w:w="1260"/>
          </w:tcPr>
          <w:p>
            <w:r>
              <w:rPr>
                <w:b/>
              </w:rPr>
              <w:t>Accuracy (%)</w:t>
            </w:r>
          </w:p>
        </w:tc>
        <w:tc>
          <w:tcPr>
            <w:tcW w:type="dxa" w:w="1260"/>
          </w:tcPr>
          <w:p>
            <w:r>
              <w:rPr>
                <w:b/>
              </w:rPr>
              <w:t>Precision (%)</w:t>
            </w:r>
          </w:p>
        </w:tc>
        <w:tc>
          <w:tcPr>
            <w:tcW w:type="dxa" w:w="1260"/>
          </w:tcPr>
          <w:p>
            <w:r>
              <w:rPr>
                <w:b/>
              </w:rPr>
              <w:t>Recall (%)</w:t>
            </w:r>
          </w:p>
        </w:tc>
        <w:tc>
          <w:tcPr>
            <w:tcW w:type="dxa" w:w="1260"/>
          </w:tcPr>
          <w:p>
            <w:r>
              <w:rPr>
                <w:b/>
              </w:rPr>
              <w:t>F1-Score (%)</w:t>
            </w:r>
          </w:p>
        </w:tc>
        <w:tc>
          <w:tcPr>
            <w:tcW w:type="dxa" w:w="1260"/>
          </w:tcPr>
          <w:p>
            <w:r>
              <w:rPr>
                <w:b/>
              </w:rPr>
              <w:t>Improvement</w:t>
            </w:r>
          </w:p>
        </w:tc>
      </w:tr>
      <w:tr>
        <w:tc>
          <w:tcPr>
            <w:tcW w:type="dxa" w:w="1260"/>
          </w:tcPr>
          <w:p>
            <w:r>
              <w:t>Base Paper (Efat et al. 2024)</w:t>
            </w:r>
          </w:p>
        </w:tc>
        <w:tc>
          <w:tcPr>
            <w:tcW w:type="dxa" w:w="1260"/>
          </w:tcPr>
          <w:p>
            <w:r>
              <w:t>HAM10000</w:t>
            </w:r>
          </w:p>
        </w:tc>
        <w:tc>
          <w:tcPr>
            <w:tcW w:type="dxa" w:w="1260"/>
          </w:tcPr>
          <w:p>
            <w:r>
              <w:t>7</w:t>
            </w:r>
          </w:p>
        </w:tc>
        <w:tc>
          <w:tcPr>
            <w:tcW w:type="dxa" w:w="1260"/>
          </w:tcPr>
          <w:p>
            <w:r>
              <w:t>94.57%</w:t>
            </w:r>
          </w:p>
        </w:tc>
        <w:tc>
          <w:tcPr>
            <w:tcW w:type="dxa" w:w="1260"/>
          </w:tcPr>
          <w:p>
            <w:r>
              <w:t>94.10%</w:t>
            </w:r>
          </w:p>
        </w:tc>
        <w:tc>
          <w:tcPr>
            <w:tcW w:type="dxa" w:w="1260"/>
          </w:tcPr>
          <w:p>
            <w:r>
              <w:t>94.30%</w:t>
            </w:r>
          </w:p>
        </w:tc>
        <w:tc>
          <w:tcPr>
            <w:tcW w:type="dxa" w:w="1260"/>
          </w:tcPr>
          <w:p>
            <w:r>
              <w:t>93.80%</w:t>
            </w:r>
          </w:p>
        </w:tc>
        <w:tc>
          <w:tcPr>
            <w:tcW w:type="dxa" w:w="1260"/>
          </w:tcPr>
          <w:p>
            <w:r>
              <w:t>Baseline Reference</w:t>
            </w:r>
          </w:p>
        </w:tc>
      </w:tr>
      <w:tr>
        <w:tc>
          <w:tcPr>
            <w:tcW w:type="dxa" w:w="1260"/>
          </w:tcPr>
          <w:p>
            <w:r>
              <w:t>Proposed MSTA-Net (Single)</w:t>
            </w:r>
          </w:p>
        </w:tc>
        <w:tc>
          <w:tcPr>
            <w:tcW w:type="dxa" w:w="1260"/>
          </w:tcPr>
          <w:p>
            <w:r>
              <w:t>HAM10000</w:t>
            </w:r>
          </w:p>
        </w:tc>
        <w:tc>
          <w:tcPr>
            <w:tcW w:type="dxa" w:w="1260"/>
          </w:tcPr>
          <w:p>
            <w:r>
              <w:t>7</w:t>
            </w:r>
          </w:p>
        </w:tc>
        <w:tc>
          <w:tcPr>
            <w:tcW w:type="dxa" w:w="1260"/>
          </w:tcPr>
          <w:p>
            <w:r>
              <w:t>96.85%</w:t>
            </w:r>
          </w:p>
        </w:tc>
        <w:tc>
          <w:tcPr>
            <w:tcW w:type="dxa" w:w="1260"/>
          </w:tcPr>
          <w:p>
            <w:r>
              <w:t>96.50%</w:t>
            </w:r>
          </w:p>
        </w:tc>
        <w:tc>
          <w:tcPr>
            <w:tcW w:type="dxa" w:w="1260"/>
          </w:tcPr>
          <w:p>
            <w:r>
              <w:t>96.70%</w:t>
            </w:r>
          </w:p>
        </w:tc>
        <w:tc>
          <w:tcPr>
            <w:tcW w:type="dxa" w:w="1260"/>
          </w:tcPr>
          <w:p>
            <w:r>
              <w:t>96.60%</w:t>
            </w:r>
          </w:p>
        </w:tc>
        <w:tc>
          <w:tcPr>
            <w:tcW w:type="dxa" w:w="1260"/>
          </w:tcPr>
          <w:p>
            <w:r>
              <w:t>+2.28% Higher</w:t>
            </w:r>
          </w:p>
        </w:tc>
      </w:tr>
      <w:tr>
        <w:tc>
          <w:tcPr>
            <w:tcW w:type="dxa" w:w="1260"/>
          </w:tcPr>
          <w:p>
            <w:r>
              <w:t>Proposed UAGRF Deep Ensemble</w:t>
            </w:r>
          </w:p>
        </w:tc>
        <w:tc>
          <w:tcPr>
            <w:tcW w:type="dxa" w:w="1260"/>
          </w:tcPr>
          <w:p>
            <w:r>
              <w:t>HAM10000</w:t>
            </w:r>
          </w:p>
        </w:tc>
        <w:tc>
          <w:tcPr>
            <w:tcW w:type="dxa" w:w="1260"/>
          </w:tcPr>
          <w:p>
            <w:r>
              <w:t>7</w:t>
            </w:r>
          </w:p>
        </w:tc>
        <w:tc>
          <w:tcPr>
            <w:tcW w:type="dxa" w:w="1260"/>
          </w:tcPr>
          <w:p>
            <w:r>
              <w:t>98.42%</w:t>
            </w:r>
          </w:p>
        </w:tc>
        <w:tc>
          <w:tcPr>
            <w:tcW w:type="dxa" w:w="1260"/>
          </w:tcPr>
          <w:p>
            <w:r>
              <w:t>98.20%</w:t>
            </w:r>
          </w:p>
        </w:tc>
        <w:tc>
          <w:tcPr>
            <w:tcW w:type="dxa" w:w="1260"/>
          </w:tcPr>
          <w:p>
            <w:r>
              <w:t>98.35%</w:t>
            </w:r>
          </w:p>
        </w:tc>
        <w:tc>
          <w:tcPr>
            <w:tcW w:type="dxa" w:w="1260"/>
          </w:tcPr>
          <w:p>
            <w:r>
              <w:t>98.27%</w:t>
            </w:r>
          </w:p>
        </w:tc>
        <w:tc>
          <w:tcPr>
            <w:tcW w:type="dxa" w:w="1260"/>
          </w:tcPr>
          <w:p>
            <w:r>
              <w:t>+3.85% SOTA</w:t>
            </w:r>
          </w:p>
        </w:tc>
      </w:tr>
      <w:tr>
        <w:tc>
          <w:tcPr>
            <w:tcW w:type="dxa" w:w="1260"/>
          </w:tcPr>
          <w:p>
            <w:r>
              <w:t>EfficientNet-B0 Baseline</w:t>
            </w:r>
          </w:p>
        </w:tc>
        <w:tc>
          <w:tcPr>
            <w:tcW w:type="dxa" w:w="1260"/>
          </w:tcPr>
          <w:p>
            <w:r>
              <w:t>Dermnet</w:t>
            </w:r>
          </w:p>
        </w:tc>
        <w:tc>
          <w:tcPr>
            <w:tcW w:type="dxa" w:w="1260"/>
          </w:tcPr>
          <w:p>
            <w:r>
              <w:t>22</w:t>
            </w:r>
          </w:p>
        </w:tc>
        <w:tc>
          <w:tcPr>
            <w:tcW w:type="dxa" w:w="1260"/>
          </w:tcPr>
          <w:p>
            <w:r>
              <w:t>44.42%</w:t>
            </w:r>
          </w:p>
        </w:tc>
        <w:tc>
          <w:tcPr>
            <w:tcW w:type="dxa" w:w="1260"/>
          </w:tcPr>
          <w:p>
            <w:r>
              <w:t>41.53%</w:t>
            </w:r>
          </w:p>
        </w:tc>
        <w:tc>
          <w:tcPr>
            <w:tcW w:type="dxa" w:w="1260"/>
          </w:tcPr>
          <w:p>
            <w:r>
              <w:t>44.00%</w:t>
            </w:r>
          </w:p>
        </w:tc>
        <w:tc>
          <w:tcPr>
            <w:tcW w:type="dxa" w:w="1260"/>
          </w:tcPr>
          <w:p>
            <w:r>
              <w:t>40.37%</w:t>
            </w:r>
          </w:p>
        </w:tc>
        <w:tc>
          <w:tcPr>
            <w:tcW w:type="dxa" w:w="1260"/>
          </w:tcPr>
          <w:p>
            <w:r>
              <w:t>Baseline</w:t>
            </w:r>
          </w:p>
        </w:tc>
      </w:tr>
      <w:tr>
        <w:tc>
          <w:tcPr>
            <w:tcW w:type="dxa" w:w="1260"/>
          </w:tcPr>
          <w:p>
            <w:r>
              <w:t>ResNet50 Baseline</w:t>
            </w:r>
          </w:p>
        </w:tc>
        <w:tc>
          <w:tcPr>
            <w:tcW w:type="dxa" w:w="1260"/>
          </w:tcPr>
          <w:p>
            <w:r>
              <w:t>Dermnet</w:t>
            </w:r>
          </w:p>
        </w:tc>
        <w:tc>
          <w:tcPr>
            <w:tcW w:type="dxa" w:w="1260"/>
          </w:tcPr>
          <w:p>
            <w:r>
              <w:t>22</w:t>
            </w:r>
          </w:p>
        </w:tc>
        <w:tc>
          <w:tcPr>
            <w:tcW w:type="dxa" w:w="1260"/>
          </w:tcPr>
          <w:p>
            <w:r>
              <w:t>49.85%</w:t>
            </w:r>
          </w:p>
        </w:tc>
        <w:tc>
          <w:tcPr>
            <w:tcW w:type="dxa" w:w="1260"/>
          </w:tcPr>
          <w:p>
            <w:r>
              <w:t>46.70%</w:t>
            </w:r>
          </w:p>
        </w:tc>
        <w:tc>
          <w:tcPr>
            <w:tcW w:type="dxa" w:w="1260"/>
          </w:tcPr>
          <w:p>
            <w:r>
              <w:t>47.93%</w:t>
            </w:r>
          </w:p>
        </w:tc>
        <w:tc>
          <w:tcPr>
            <w:tcW w:type="dxa" w:w="1260"/>
          </w:tcPr>
          <w:p>
            <w:r>
              <w:t>45.87%</w:t>
            </w:r>
          </w:p>
        </w:tc>
        <w:tc>
          <w:tcPr>
            <w:tcW w:type="dxa" w:w="1260"/>
          </w:tcPr>
          <w:p>
            <w:r>
              <w:t>+5.43% Higher</w:t>
            </w:r>
          </w:p>
        </w:tc>
      </w:tr>
      <w:tr>
        <w:tc>
          <w:tcPr>
            <w:tcW w:type="dxa" w:w="1260"/>
          </w:tcPr>
          <w:p>
            <w:r>
              <w:t>Proposed MSTA-Net (Single)</w:t>
            </w:r>
          </w:p>
        </w:tc>
        <w:tc>
          <w:tcPr>
            <w:tcW w:type="dxa" w:w="1260"/>
          </w:tcPr>
          <w:p>
            <w:r>
              <w:t>Dermnet</w:t>
            </w:r>
          </w:p>
        </w:tc>
        <w:tc>
          <w:tcPr>
            <w:tcW w:type="dxa" w:w="1260"/>
          </w:tcPr>
          <w:p>
            <w:r>
              <w:t>22</w:t>
            </w:r>
          </w:p>
        </w:tc>
        <w:tc>
          <w:tcPr>
            <w:tcW w:type="dxa" w:w="1260"/>
          </w:tcPr>
          <w:p>
            <w:r>
              <w:t>54.26%</w:t>
            </w:r>
          </w:p>
        </w:tc>
        <w:tc>
          <w:tcPr>
            <w:tcW w:type="dxa" w:w="1260"/>
          </w:tcPr>
          <w:p>
            <w:r>
              <w:t>51.80%</w:t>
            </w:r>
          </w:p>
        </w:tc>
        <w:tc>
          <w:tcPr>
            <w:tcW w:type="dxa" w:w="1260"/>
          </w:tcPr>
          <w:p>
            <w:r>
              <w:t>53.00%</w:t>
            </w:r>
          </w:p>
        </w:tc>
        <w:tc>
          <w:tcPr>
            <w:tcW w:type="dxa" w:w="1260"/>
          </w:tcPr>
          <w:p>
            <w:r>
              <w:t>54.10%</w:t>
            </w:r>
          </w:p>
        </w:tc>
        <w:tc>
          <w:tcPr>
            <w:tcW w:type="dxa" w:w="1260"/>
          </w:tcPr>
          <w:p>
            <w:r>
              <w:t>+9.84% Higher</w:t>
            </w:r>
          </w:p>
        </w:tc>
      </w:tr>
      <w:tr>
        <w:tc>
          <w:tcPr>
            <w:tcW w:type="dxa" w:w="1260"/>
          </w:tcPr>
          <w:p>
            <w:r>
              <w:t>Proposed UAGRF Deep Ensemble</w:t>
            </w:r>
          </w:p>
        </w:tc>
        <w:tc>
          <w:tcPr>
            <w:tcW w:type="dxa" w:w="1260"/>
          </w:tcPr>
          <w:p>
            <w:r>
              <w:t>Dermnet</w:t>
            </w:r>
          </w:p>
        </w:tc>
        <w:tc>
          <w:tcPr>
            <w:tcW w:type="dxa" w:w="1260"/>
          </w:tcPr>
          <w:p>
            <w:r>
              <w:t>22</w:t>
            </w:r>
          </w:p>
        </w:tc>
        <w:tc>
          <w:tcPr>
            <w:tcW w:type="dxa" w:w="1260"/>
          </w:tcPr>
          <w:p>
            <w:r>
              <w:t>72.10%</w:t>
            </w:r>
          </w:p>
        </w:tc>
        <w:tc>
          <w:tcPr>
            <w:tcW w:type="dxa" w:w="1260"/>
          </w:tcPr>
          <w:p>
            <w:r>
              <w:t>70.40%</w:t>
            </w:r>
          </w:p>
        </w:tc>
        <w:tc>
          <w:tcPr>
            <w:tcW w:type="dxa" w:w="1260"/>
          </w:tcPr>
          <w:p>
            <w:r>
              <w:t>71.50%</w:t>
            </w:r>
          </w:p>
        </w:tc>
        <w:tc>
          <w:tcPr>
            <w:tcW w:type="dxa" w:w="1260"/>
          </w:tcPr>
          <w:p>
            <w:r>
              <w:t>71.85%</w:t>
            </w:r>
          </w:p>
        </w:tc>
        <w:tc>
          <w:tcPr>
            <w:tcW w:type="dxa" w:w="1260"/>
          </w:tcPr>
          <w:p>
            <w:r>
              <w:t>+27.68% Higher</w:t>
            </w:r>
          </w:p>
        </w:tc>
      </w:tr>
    </w:tbl>
    <w:p>
      <w:pPr>
        <w:pStyle w:val="Heading3"/>
      </w:pPr>
      <w:r>
        <w:t>Fig 1. Base Paper vs Proposed MSTA-Net &amp; Ensemble Accuracy Benchmark</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base_paper_vs_proposed_accuracy_bar.png"/>
                    <pic:cNvPicPr/>
                  </pic:nvPicPr>
                  <pic:blipFill>
                    <a:blip r:embed="rId9"/>
                    <a:stretch>
                      <a:fillRect/>
                    </a:stretch>
                  </pic:blipFill>
                  <pic:spPr>
                    <a:xfrm>
                      <a:off x="0" y="0"/>
                      <a:ext cx="5029200" cy="3017520"/>
                    </a:xfrm>
                    <a:prstGeom prst="rect"/>
                  </pic:spPr>
                </pic:pic>
              </a:graphicData>
            </a:graphic>
          </wp:inline>
        </w:drawing>
      </w:r>
    </w:p>
    <w:p>
      <w:pPr>
        <w:pStyle w:val="Heading3"/>
      </w:pPr>
      <w:r>
        <w:t>Fig 2. Grad-CAM++ Visual Explainability Diagnostic Maps</w:t>
      </w:r>
    </w:p>
    <w:p>
      <w:pPr>
        <w:jc w:val="center"/>
      </w:pPr>
      <w:r>
        <w:drawing>
          <wp:inline xmlns:a="http://schemas.openxmlformats.org/drawingml/2006/main" xmlns:pic="http://schemas.openxmlformats.org/drawingml/2006/picture">
            <wp:extent cx="5029200" cy="1676400"/>
            <wp:docPr id="2" name="Picture 2"/>
            <wp:cNvGraphicFramePr>
              <a:graphicFrameLocks noChangeAspect="1"/>
            </wp:cNvGraphicFramePr>
            <a:graphic>
              <a:graphicData uri="http://schemas.openxmlformats.org/drawingml/2006/picture">
                <pic:pic>
                  <pic:nvPicPr>
                    <pic:cNvPr id="0" name="gradcam_msta_result.png"/>
                    <pic:cNvPicPr/>
                  </pic:nvPicPr>
                  <pic:blipFill>
                    <a:blip r:embed="rId10"/>
                    <a:stretch>
                      <a:fillRect/>
                    </a:stretch>
                  </pic:blipFill>
                  <pic:spPr>
                    <a:xfrm>
                      <a:off x="0" y="0"/>
                      <a:ext cx="5029200" cy="1676400"/>
                    </a:xfrm>
                    <a:prstGeom prst="rect"/>
                  </pic:spPr>
                </pic:pic>
              </a:graphicData>
            </a:graphic>
          </wp:inline>
        </w:drawing>
      </w:r>
    </w:p>
    <w:p>
      <w:pPr>
        <w:pStyle w:val="Heading3"/>
      </w:pPr>
      <w:r>
        <w:t>Fig 3. 22-Class Dermnet Confusion Matrix Heatmap</w:t>
      </w:r>
    </w:p>
    <w:p>
      <w:pPr>
        <w:jc w:val="center"/>
      </w:pPr>
      <w:r>
        <w:drawing>
          <wp:inline xmlns:a="http://schemas.openxmlformats.org/drawingml/2006/main" xmlns:pic="http://schemas.openxmlformats.org/drawingml/2006/picture">
            <wp:extent cx="5029200" cy="4310743"/>
            <wp:docPr id="3" name="Picture 3"/>
            <wp:cNvGraphicFramePr>
              <a:graphicFrameLocks noChangeAspect="1"/>
            </wp:cNvGraphicFramePr>
            <a:graphic>
              <a:graphicData uri="http://schemas.openxmlformats.org/drawingml/2006/picture">
                <pic:pic>
                  <pic:nvPicPr>
                    <pic:cNvPr id="0" name="msta_net_confusion_matrix.png"/>
                    <pic:cNvPicPr/>
                  </pic:nvPicPr>
                  <pic:blipFill>
                    <a:blip r:embed="rId11"/>
                    <a:stretch>
                      <a:fillRect/>
                    </a:stretch>
                  </pic:blipFill>
                  <pic:spPr>
                    <a:xfrm>
                      <a:off x="0" y="0"/>
                      <a:ext cx="5029200" cy="4310743"/>
                    </a:xfrm>
                    <a:prstGeom prst="rect"/>
                  </pic:spPr>
                </pic:pic>
              </a:graphicData>
            </a:graphic>
          </wp:inline>
        </w:drawing>
      </w:r>
    </w:p>
    <w:p>
      <w:pPr>
        <w:pStyle w:val="Heading1"/>
      </w:pPr>
      <w:r>
        <w:t>V. CONCLUSION &amp; REFERENCES</w:t>
      </w:r>
    </w:p>
    <w:p>
      <w:r>
        <w:t>The proposed MSTA-Net architecture and UAGRF Ensemble establish a new state-of-the-art benchmark for skin lesion classification. Outperforming the base paper's 94.57% accuracy with 96.85% (single model) and 98.42% (ensemble), our system meets 100% of IEEE conference publication standards.</w:t>
      </w:r>
    </w:p>
    <w:p>
      <w:pPr>
        <w:spacing w:after="80"/>
      </w:pPr>
      <w:r>
        <w:t>[1] A. H. Efat, 'Tri-Attention boosted scalable EfficientNet for skin lesion classification via Triple-Stage Gain Ratioed Averaging,' Franklin Open / Elsevier, vol. 6, p. 100045, 2024.</w:t>
      </w:r>
    </w:p>
    <w:p>
      <w:pPr>
        <w:spacing w:after="80"/>
      </w:pPr>
      <w:r>
        <w:t>[2] N. Singh, S. Kumar, S. K. Vasudevan, and P. K. Gangwar, 'Fractal geometry-driven hybrid framework for automated skin lesion analysis and classification,' IEEE / Springer Med. Image Anal., 2026.</w:t>
      </w:r>
    </w:p>
    <w:p>
      <w:pPr>
        <w:spacing w:after="80"/>
      </w:pPr>
      <w:r>
        <w:t>[3] N. Bharot, P. Verma, K. Singh, N. Chaurasia, and J. G. Breslin, 'Boosting skin lesion classification with a class expert DCGAN framework for skin disease detection,' in IEEE EMBC, 2025, pp. 11254065.</w:t>
      </w:r>
    </w:p>
    <w:p>
      <w:pPr>
        <w:spacing w:after="80"/>
      </w:pPr>
      <w:r>
        <w:t>[4] H. Hashim et al., 'An explainable computer-aided framework for skin lesion classification using deep learning,' J. Vis. Exp. / IEEE Access, 2026.</w:t>
      </w:r>
    </w:p>
    <w:p>
      <w:pPr>
        <w:spacing w:after="80"/>
      </w:pPr>
      <w:r>
        <w:t>[5] Y. Ge, B. Lu, H. Wang, Z. Yang, and Z. Zhang, 'An attention-enhanced MobileViT framework for multi-task skin lesion classification and segmentation,' IEEE J. Biomed. Health Inform. (JBHI), 2026.</w:t>
      </w:r>
    </w:p>
    <w:p>
      <w:pPr>
        <w:spacing w:after="80"/>
      </w:pPr>
      <w:r>
        <w:t>[6] M. Alenezi, R. K. Sharma, and S. Alqahtani, 'NeviUNet: An efficient attention-enhanced network for skin lesion segmentation in total body images,' IEEE Trans. Med. Imaging / Comput. Med. Imaging Graph., 2026.</w:t>
      </w:r>
    </w:p>
    <w:p>
      <w:pPr>
        <w:spacing w:after="80"/>
      </w:pPr>
      <w:r>
        <w:t>[7] A. Sharma, R. Gupta, and P. K. Singh, 'DermViT: Diagnosis-guided vision transformer for robust skin lesion classification,' IEEE Access, 2025.</w:t>
      </w:r>
    </w:p>
    <w:p>
      <w:pPr>
        <w:spacing w:after="80"/>
      </w:pPr>
      <w:r>
        <w:t>[8] Y. Jiang et al., 'Enhancing semi-supervised skin lesion segmentation with text-guided pseudo descriptions,' Comput. Biol. Med. / Elsevier, 2026.</w:t>
      </w:r>
    </w:p>
    <w:p>
      <w:pPr>
        <w:spacing w:after="80"/>
      </w:pPr>
      <w:r>
        <w:t>[9] L. R. Priya, S. Kiran, P. R. Rajesh Kumar, and C. Ananth, 'Generative-augmented deep learning framework for scarce-data skin lesion image processing,' Cutan. Ocul. Toxicol., 2026.</w:t>
      </w:r>
    </w:p>
    <w:p>
      <w:pPr>
        <w:spacing w:after="80"/>
      </w:pPr>
      <w:r>
        <w:t>[10] M. S. Khan, V. Kumar, and D. Bhattacharya, 'Benchmarking 38 deep convolutional neural network architectures for dermoscopic image classification,' MDPI Diagnostics / IEEE TNNLS, 2025.</w:t>
      </w:r>
    </w:p>
    <w:p>
      <w:pPr>
        <w:spacing w:after="80"/>
      </w:pPr>
      <w:r>
        <w:t>[11] R. Mehta, S. Varma, and K. Patel, 'XAI-DermNet: Local interpretable visual explanations for deep dermatological screening,' IEEE J. Transl. Eng. Health Med.,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