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D14" w:rsidRPr="00E93FD2" w:rsidRDefault="00E93FD2" w:rsidP="00E93FD2">
      <w:pPr>
        <w:spacing w:after="60"/>
        <w:rPr>
          <w:rFonts w:ascii="Arial" w:eastAsia="Times New Roman" w:hAnsi="Arial" w:cs="Arial"/>
          <w:b/>
          <w:bCs/>
          <w:color w:val="000000"/>
          <w:sz w:val="22"/>
          <w:szCs w:val="22"/>
          <w:u w:val="single"/>
          <w:lang w:eastAsia="en-GB"/>
        </w:rPr>
      </w:pPr>
      <w:r w:rsidRPr="00E93FD2">
        <w:rPr>
          <w:rFonts w:ascii="Arial" w:eastAsia="Times New Roman" w:hAnsi="Arial" w:cs="Arial"/>
          <w:b/>
          <w:bCs/>
          <w:color w:val="000000"/>
          <w:sz w:val="22"/>
          <w:szCs w:val="22"/>
          <w:u w:val="single"/>
          <w:lang w:eastAsia="en-GB"/>
        </w:rPr>
        <w:t>4YP interim report</w:t>
      </w:r>
      <w:r w:rsidR="00452DEC">
        <w:rPr>
          <w:rFonts w:ascii="Arial" w:eastAsia="Times New Roman" w:hAnsi="Arial" w:cs="Arial"/>
          <w:b/>
          <w:bCs/>
          <w:color w:val="000000"/>
          <w:sz w:val="22"/>
          <w:szCs w:val="22"/>
          <w:u w:val="single"/>
          <w:lang w:eastAsia="en-GB"/>
        </w:rPr>
        <w:t xml:space="preserve"> – </w:t>
      </w:r>
      <w:proofErr w:type="spellStart"/>
      <w:r w:rsidR="00452DEC">
        <w:rPr>
          <w:rFonts w:ascii="Arial" w:eastAsia="Times New Roman" w:hAnsi="Arial" w:cs="Arial"/>
          <w:b/>
          <w:bCs/>
          <w:color w:val="000000"/>
          <w:sz w:val="22"/>
          <w:szCs w:val="22"/>
          <w:u w:val="single"/>
          <w:lang w:eastAsia="en-GB"/>
        </w:rPr>
        <w:t>Sivesh</w:t>
      </w:r>
      <w:proofErr w:type="spellEnd"/>
      <w:r w:rsidR="00452DEC">
        <w:rPr>
          <w:rFonts w:ascii="Arial" w:eastAsia="Times New Roman" w:hAnsi="Arial" w:cs="Arial"/>
          <w:b/>
          <w:bCs/>
          <w:color w:val="000000"/>
          <w:sz w:val="22"/>
          <w:szCs w:val="22"/>
          <w:u w:val="single"/>
          <w:lang w:eastAsia="en-GB"/>
        </w:rPr>
        <w:t xml:space="preserve"> Sukumar</w:t>
      </w:r>
    </w:p>
    <w:p w:rsidR="00E93FD2" w:rsidRPr="00E93FD2" w:rsidRDefault="00E93FD2" w:rsidP="00E93FD2">
      <w:pPr>
        <w:rPr>
          <w:rFonts w:ascii="Arial" w:eastAsia="Times New Roman" w:hAnsi="Arial" w:cs="Arial"/>
          <w:b/>
          <w:bCs/>
          <w:color w:val="000000"/>
          <w:sz w:val="22"/>
          <w:szCs w:val="22"/>
          <w:lang w:eastAsia="en-GB"/>
        </w:rPr>
      </w:pPr>
      <w:r w:rsidRPr="00E93FD2">
        <w:rPr>
          <w:rFonts w:ascii="Arial" w:eastAsia="Times New Roman" w:hAnsi="Arial" w:cs="Arial"/>
          <w:b/>
          <w:bCs/>
          <w:color w:val="000000"/>
          <w:sz w:val="22"/>
          <w:szCs w:val="22"/>
          <w:lang w:eastAsia="en-GB"/>
        </w:rPr>
        <w:t>Introduction</w:t>
      </w:r>
    </w:p>
    <w:p w:rsidR="00E93FD2" w:rsidRPr="00E93FD2" w:rsidRDefault="00E93FD2" w:rsidP="00E93FD2">
      <w:pPr>
        <w:rPr>
          <w:rFonts w:ascii="Times New Roman" w:eastAsia="Times New Roman" w:hAnsi="Times New Roman" w:cs="Times New Roman"/>
          <w:sz w:val="22"/>
          <w:szCs w:val="22"/>
          <w:lang w:eastAsia="en-GB"/>
        </w:rPr>
      </w:pPr>
      <w:r w:rsidRPr="00E93FD2">
        <w:rPr>
          <w:rFonts w:ascii="Arial" w:eastAsia="Times New Roman" w:hAnsi="Arial" w:cs="Arial"/>
          <w:color w:val="000000"/>
          <w:sz w:val="22"/>
          <w:szCs w:val="22"/>
          <w:lang w:eastAsia="en-GB"/>
        </w:rPr>
        <w:t>Computerised order flow first emerged in the 1970s. This allowed the development of algorithmic trading strategies and provided a seed for the revolutionary sector of high frequency trading. The aim of this project is to explore how different machine learning techniques can be used to create algorithmic trading agents and then assess their performance.</w:t>
      </w:r>
    </w:p>
    <w:p w:rsidR="00E93FD2" w:rsidRPr="00E93FD2" w:rsidRDefault="00E93FD2" w:rsidP="00E93FD2">
      <w:pPr>
        <w:rPr>
          <w:rFonts w:ascii="Times New Roman" w:eastAsia="Times New Roman" w:hAnsi="Times New Roman" w:cs="Times New Roman"/>
          <w:sz w:val="22"/>
          <w:szCs w:val="22"/>
          <w:lang w:eastAsia="en-GB"/>
        </w:rPr>
      </w:pPr>
      <w:r w:rsidRPr="00E93FD2">
        <w:rPr>
          <w:rFonts w:ascii="Arial" w:eastAsia="Times New Roman" w:hAnsi="Arial" w:cs="Arial"/>
          <w:b/>
          <w:bCs/>
          <w:color w:val="000000"/>
          <w:sz w:val="22"/>
          <w:szCs w:val="22"/>
          <w:lang w:eastAsia="en-GB"/>
        </w:rPr>
        <w:t>Literature Review</w:t>
      </w:r>
    </w:p>
    <w:p w:rsidR="00E93FD2" w:rsidRPr="00E93FD2" w:rsidRDefault="00452DEC" w:rsidP="00E93FD2">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Many traders</w:t>
      </w:r>
      <w:r w:rsidR="00E93FD2" w:rsidRPr="00E93FD2">
        <w:rPr>
          <w:rFonts w:ascii="Arial" w:eastAsia="Times New Roman" w:hAnsi="Arial" w:cs="Arial"/>
          <w:color w:val="000000"/>
          <w:sz w:val="22"/>
          <w:szCs w:val="22"/>
          <w:lang w:eastAsia="en-GB"/>
        </w:rPr>
        <w:t xml:space="preserve"> use techniques such as machine learning to look for trading signals. For example, </w:t>
      </w:r>
      <w:sdt>
        <w:sdtPr>
          <w:rPr>
            <w:rFonts w:ascii="Arial" w:eastAsia="Times New Roman" w:hAnsi="Arial" w:cs="Arial"/>
            <w:color w:val="000000"/>
            <w:sz w:val="22"/>
            <w:szCs w:val="22"/>
            <w:lang w:eastAsia="en-GB"/>
          </w:rPr>
          <w:id w:val="2124810508"/>
          <w:citation/>
        </w:sdtPr>
        <w:sdtContent>
          <w:r w:rsidR="00282336" w:rsidRPr="00AF6D14">
            <w:rPr>
              <w:rFonts w:ascii="Arial" w:eastAsia="Times New Roman" w:hAnsi="Arial" w:cs="Arial"/>
              <w:color w:val="000000"/>
              <w:sz w:val="22"/>
              <w:szCs w:val="22"/>
              <w:lang w:eastAsia="en-GB"/>
            </w:rPr>
            <w:fldChar w:fldCharType="begin"/>
          </w:r>
          <w:r w:rsidR="00282336" w:rsidRPr="00AF6D14">
            <w:rPr>
              <w:rFonts w:ascii="Arial" w:eastAsia="Times New Roman" w:hAnsi="Arial" w:cs="Arial"/>
              <w:color w:val="000000"/>
              <w:sz w:val="22"/>
              <w:szCs w:val="22"/>
              <w:lang w:val="en-US" w:eastAsia="en-GB"/>
            </w:rPr>
            <w:instrText xml:space="preserve"> CITATION Zih19 \l 1033 </w:instrText>
          </w:r>
          <w:r w:rsidR="00282336" w:rsidRPr="00AF6D14">
            <w:rPr>
              <w:rFonts w:ascii="Arial" w:eastAsia="Times New Roman" w:hAnsi="Arial" w:cs="Arial"/>
              <w:color w:val="000000"/>
              <w:sz w:val="22"/>
              <w:szCs w:val="22"/>
              <w:lang w:eastAsia="en-GB"/>
            </w:rPr>
            <w:fldChar w:fldCharType="separate"/>
          </w:r>
          <w:r w:rsidR="00282336" w:rsidRPr="00AF6D14">
            <w:rPr>
              <w:rFonts w:ascii="Arial" w:eastAsia="Times New Roman" w:hAnsi="Arial" w:cs="Arial"/>
              <w:noProof/>
              <w:color w:val="000000"/>
              <w:sz w:val="22"/>
              <w:szCs w:val="22"/>
              <w:lang w:val="en-US" w:eastAsia="en-GB"/>
            </w:rPr>
            <w:t>[1]</w:t>
          </w:r>
          <w:r w:rsidR="00282336" w:rsidRPr="00AF6D14">
            <w:rPr>
              <w:rFonts w:ascii="Arial" w:eastAsia="Times New Roman" w:hAnsi="Arial" w:cs="Arial"/>
              <w:color w:val="000000"/>
              <w:sz w:val="22"/>
              <w:szCs w:val="22"/>
              <w:lang w:eastAsia="en-GB"/>
            </w:rPr>
            <w:fldChar w:fldCharType="end"/>
          </w:r>
        </w:sdtContent>
      </w:sdt>
      <w:r w:rsidR="00282336" w:rsidRPr="00AF6D14">
        <w:rPr>
          <w:rFonts w:ascii="Arial" w:eastAsia="Times New Roman" w:hAnsi="Arial" w:cs="Arial"/>
          <w:color w:val="000000"/>
          <w:sz w:val="22"/>
          <w:szCs w:val="22"/>
          <w:lang w:eastAsia="en-GB"/>
        </w:rPr>
        <w:t xml:space="preserve"> </w:t>
      </w:r>
      <w:r w:rsidR="00E93FD2" w:rsidRPr="00E93FD2">
        <w:rPr>
          <w:rFonts w:ascii="Arial" w:eastAsia="Times New Roman" w:hAnsi="Arial" w:cs="Arial"/>
          <w:color w:val="000000"/>
          <w:sz w:val="22"/>
          <w:szCs w:val="22"/>
          <w:lang w:eastAsia="en-GB"/>
        </w:rPr>
        <w:t>explores the extraction of signals from limit order books using deep learning. When using these signals as an input to a trading bot it can be shown to produce very impressive returns when back tested on equities.</w:t>
      </w:r>
      <w:r w:rsidR="00E93FD2" w:rsidRPr="00E93FD2">
        <w:rPr>
          <w:rFonts w:ascii="Arial" w:eastAsia="Times New Roman" w:hAnsi="Arial" w:cs="Arial"/>
          <w:b/>
          <w:bCs/>
          <w:color w:val="000000"/>
          <w:sz w:val="22"/>
          <w:szCs w:val="22"/>
          <w:lang w:eastAsia="en-GB"/>
        </w:rPr>
        <w:t xml:space="preserve"> </w:t>
      </w:r>
      <w:sdt>
        <w:sdtPr>
          <w:rPr>
            <w:rFonts w:ascii="Arial" w:eastAsia="Times New Roman" w:hAnsi="Arial" w:cs="Arial"/>
            <w:b/>
            <w:bCs/>
            <w:color w:val="000000"/>
            <w:sz w:val="22"/>
            <w:szCs w:val="22"/>
            <w:lang w:eastAsia="en-GB"/>
          </w:rPr>
          <w:id w:val="-1804068904"/>
          <w:citation/>
        </w:sdtPr>
        <w:sdtContent>
          <w:r w:rsidR="00282336" w:rsidRPr="00AF6D14">
            <w:rPr>
              <w:rFonts w:ascii="Arial" w:eastAsia="Times New Roman" w:hAnsi="Arial" w:cs="Arial"/>
              <w:b/>
              <w:bCs/>
              <w:color w:val="000000"/>
              <w:sz w:val="22"/>
              <w:szCs w:val="22"/>
              <w:lang w:eastAsia="en-GB"/>
            </w:rPr>
            <w:fldChar w:fldCharType="begin"/>
          </w:r>
          <w:r w:rsidR="00282336" w:rsidRPr="00AF6D14">
            <w:rPr>
              <w:rFonts w:ascii="Arial" w:eastAsia="Times New Roman" w:hAnsi="Arial" w:cs="Arial"/>
              <w:b/>
              <w:bCs/>
              <w:color w:val="000000"/>
              <w:sz w:val="22"/>
              <w:szCs w:val="22"/>
              <w:lang w:val="en-US" w:eastAsia="en-GB"/>
            </w:rPr>
            <w:instrText xml:space="preserve"> CITATION SRo12 \l 1033 </w:instrText>
          </w:r>
          <w:r w:rsidR="00282336" w:rsidRPr="00AF6D14">
            <w:rPr>
              <w:rFonts w:ascii="Arial" w:eastAsia="Times New Roman" w:hAnsi="Arial" w:cs="Arial"/>
              <w:b/>
              <w:bCs/>
              <w:color w:val="000000"/>
              <w:sz w:val="22"/>
              <w:szCs w:val="22"/>
              <w:lang w:eastAsia="en-GB"/>
            </w:rPr>
            <w:fldChar w:fldCharType="separate"/>
          </w:r>
          <w:r w:rsidR="00282336" w:rsidRPr="00AF6D14">
            <w:rPr>
              <w:rFonts w:ascii="Arial" w:eastAsia="Times New Roman" w:hAnsi="Arial" w:cs="Arial"/>
              <w:noProof/>
              <w:color w:val="000000"/>
              <w:sz w:val="22"/>
              <w:szCs w:val="22"/>
              <w:lang w:val="en-US" w:eastAsia="en-GB"/>
            </w:rPr>
            <w:t>[2]</w:t>
          </w:r>
          <w:r w:rsidR="00282336" w:rsidRPr="00AF6D14">
            <w:rPr>
              <w:rFonts w:ascii="Arial" w:eastAsia="Times New Roman" w:hAnsi="Arial" w:cs="Arial"/>
              <w:b/>
              <w:bCs/>
              <w:color w:val="000000"/>
              <w:sz w:val="22"/>
              <w:szCs w:val="22"/>
              <w:lang w:eastAsia="en-GB"/>
            </w:rPr>
            <w:fldChar w:fldCharType="end"/>
          </w:r>
        </w:sdtContent>
      </w:sdt>
      <w:r w:rsidR="00282336" w:rsidRPr="00AF6D14">
        <w:rPr>
          <w:rFonts w:ascii="Arial" w:eastAsia="Times New Roman" w:hAnsi="Arial" w:cs="Arial"/>
          <w:b/>
          <w:bCs/>
          <w:color w:val="000000"/>
          <w:sz w:val="22"/>
          <w:szCs w:val="22"/>
          <w:lang w:eastAsia="en-GB"/>
        </w:rPr>
        <w:t xml:space="preserve"> </w:t>
      </w:r>
      <w:r w:rsidR="00E93FD2" w:rsidRPr="00E93FD2">
        <w:rPr>
          <w:rFonts w:ascii="Arial" w:eastAsia="Times New Roman" w:hAnsi="Arial" w:cs="Arial"/>
          <w:color w:val="000000"/>
          <w:sz w:val="22"/>
          <w:szCs w:val="22"/>
          <w:lang w:eastAsia="en-GB"/>
        </w:rPr>
        <w:t>explores the use of non-parametric models such as Gaussian Processes to model time series. The formation of covariance kernel functions for a time series is shown to be incredibly powerful. Deep learning can also be used to enhance existing trading strategies</w:t>
      </w:r>
      <w:r>
        <w:rPr>
          <w:rFonts w:ascii="Arial" w:eastAsia="Times New Roman" w:hAnsi="Arial" w:cs="Arial"/>
          <w:color w:val="000000"/>
          <w:sz w:val="22"/>
          <w:szCs w:val="22"/>
          <w:lang w:eastAsia="en-GB"/>
        </w:rPr>
        <w:t>,</w:t>
      </w:r>
      <w:r w:rsidR="00E93FD2" w:rsidRPr="00E93FD2">
        <w:rPr>
          <w:rFonts w:ascii="Arial" w:eastAsia="Times New Roman" w:hAnsi="Arial" w:cs="Arial"/>
          <w:color w:val="000000"/>
          <w:sz w:val="22"/>
          <w:szCs w:val="22"/>
          <w:lang w:eastAsia="en-GB"/>
        </w:rPr>
        <w:t xml:space="preserve"> </w:t>
      </w:r>
      <w:sdt>
        <w:sdtPr>
          <w:rPr>
            <w:rFonts w:ascii="Arial" w:eastAsia="Times New Roman" w:hAnsi="Arial" w:cs="Arial"/>
            <w:color w:val="000000"/>
            <w:sz w:val="22"/>
            <w:szCs w:val="22"/>
            <w:lang w:eastAsia="en-GB"/>
          </w:rPr>
          <w:id w:val="-1595776706"/>
          <w:citation/>
        </w:sdtPr>
        <w:sdtContent>
          <w:r w:rsidR="00282336" w:rsidRPr="00AF6D14">
            <w:rPr>
              <w:rFonts w:ascii="Arial" w:eastAsia="Times New Roman" w:hAnsi="Arial" w:cs="Arial"/>
              <w:color w:val="000000"/>
              <w:sz w:val="22"/>
              <w:szCs w:val="22"/>
              <w:lang w:eastAsia="en-GB"/>
            </w:rPr>
            <w:fldChar w:fldCharType="begin"/>
          </w:r>
          <w:r w:rsidR="00282336" w:rsidRPr="00AF6D14">
            <w:rPr>
              <w:rFonts w:ascii="Arial" w:eastAsia="Times New Roman" w:hAnsi="Arial" w:cs="Arial"/>
              <w:color w:val="000000"/>
              <w:sz w:val="22"/>
              <w:szCs w:val="22"/>
              <w:lang w:val="en-US" w:eastAsia="en-GB"/>
            </w:rPr>
            <w:instrText xml:space="preserve"> CITATION Bry19 \l 1033 </w:instrText>
          </w:r>
          <w:r w:rsidR="00282336" w:rsidRPr="00AF6D14">
            <w:rPr>
              <w:rFonts w:ascii="Arial" w:eastAsia="Times New Roman" w:hAnsi="Arial" w:cs="Arial"/>
              <w:color w:val="000000"/>
              <w:sz w:val="22"/>
              <w:szCs w:val="22"/>
              <w:lang w:eastAsia="en-GB"/>
            </w:rPr>
            <w:fldChar w:fldCharType="separate"/>
          </w:r>
          <w:r w:rsidR="00282336" w:rsidRPr="00AF6D14">
            <w:rPr>
              <w:rFonts w:ascii="Arial" w:eastAsia="Times New Roman" w:hAnsi="Arial" w:cs="Arial"/>
              <w:noProof/>
              <w:color w:val="000000"/>
              <w:sz w:val="22"/>
              <w:szCs w:val="22"/>
              <w:lang w:val="en-US" w:eastAsia="en-GB"/>
            </w:rPr>
            <w:t>[3]</w:t>
          </w:r>
          <w:r w:rsidR="00282336" w:rsidRPr="00AF6D14">
            <w:rPr>
              <w:rFonts w:ascii="Arial" w:eastAsia="Times New Roman" w:hAnsi="Arial" w:cs="Arial"/>
              <w:color w:val="000000"/>
              <w:sz w:val="22"/>
              <w:szCs w:val="22"/>
              <w:lang w:eastAsia="en-GB"/>
            </w:rPr>
            <w:fldChar w:fldCharType="end"/>
          </w:r>
        </w:sdtContent>
      </w:sdt>
      <w:r w:rsidR="00282336" w:rsidRPr="00AF6D14">
        <w:rPr>
          <w:rFonts w:ascii="Arial" w:eastAsia="Times New Roman" w:hAnsi="Arial" w:cs="Arial"/>
          <w:color w:val="000000"/>
          <w:sz w:val="22"/>
          <w:szCs w:val="22"/>
          <w:lang w:eastAsia="en-GB"/>
        </w:rPr>
        <w:t xml:space="preserve"> </w:t>
      </w:r>
      <w:r w:rsidR="00E93FD2" w:rsidRPr="00E93FD2">
        <w:rPr>
          <w:rFonts w:ascii="Arial" w:eastAsia="Times New Roman" w:hAnsi="Arial" w:cs="Arial"/>
          <w:color w:val="000000"/>
          <w:sz w:val="22"/>
          <w:szCs w:val="22"/>
          <w:lang w:eastAsia="en-GB"/>
        </w:rPr>
        <w:t>explores the enhancement of a simple moving average crossover strategy using deep learning .</w:t>
      </w:r>
    </w:p>
    <w:p w:rsidR="00E93FD2" w:rsidRPr="00E93FD2" w:rsidRDefault="00E93FD2" w:rsidP="00E93FD2">
      <w:pPr>
        <w:rPr>
          <w:rFonts w:ascii="Times New Roman" w:eastAsia="Times New Roman" w:hAnsi="Times New Roman" w:cs="Times New Roman"/>
          <w:sz w:val="22"/>
          <w:szCs w:val="22"/>
          <w:lang w:eastAsia="en-GB"/>
        </w:rPr>
      </w:pPr>
      <w:r w:rsidRPr="00E93FD2">
        <w:rPr>
          <w:rFonts w:ascii="Arial" w:eastAsia="Times New Roman" w:hAnsi="Arial" w:cs="Arial"/>
          <w:b/>
          <w:bCs/>
          <w:color w:val="000000"/>
          <w:sz w:val="22"/>
          <w:szCs w:val="22"/>
          <w:lang w:eastAsia="en-GB"/>
        </w:rPr>
        <w:t>Neural Networks and TensorFlow</w:t>
      </w:r>
    </w:p>
    <w:p w:rsidR="00E93FD2" w:rsidRPr="00E93FD2" w:rsidRDefault="00E93FD2" w:rsidP="00E93FD2">
      <w:pPr>
        <w:rPr>
          <w:rFonts w:ascii="Times New Roman" w:eastAsia="Times New Roman" w:hAnsi="Times New Roman" w:cs="Times New Roman"/>
          <w:sz w:val="22"/>
          <w:szCs w:val="22"/>
          <w:lang w:eastAsia="en-GB"/>
        </w:rPr>
      </w:pPr>
      <w:r w:rsidRPr="00E93FD2">
        <w:rPr>
          <w:rFonts w:ascii="Arial" w:eastAsia="Times New Roman" w:hAnsi="Arial" w:cs="Arial"/>
          <w:color w:val="000000"/>
          <w:sz w:val="22"/>
          <w:szCs w:val="22"/>
          <w:lang w:eastAsia="en-GB"/>
        </w:rPr>
        <w:t>When a loss function has been established for a problem, neural networks can be used to map inputs to outputs with minimal loss, often via stochastic gradient descent. They are able to take a data set along with a set of labels and create a model to predict the labels of future data. Recurrent Neural Networks go one step further by retaining past information and are therefore very useful for time series problems. </w:t>
      </w:r>
    </w:p>
    <w:p w:rsidR="00E93FD2" w:rsidRPr="00E93FD2" w:rsidRDefault="00E93FD2" w:rsidP="00282336">
      <w:pPr>
        <w:rPr>
          <w:rFonts w:ascii="Times New Roman" w:eastAsia="Times New Roman" w:hAnsi="Times New Roman" w:cs="Times New Roman"/>
          <w:sz w:val="22"/>
          <w:szCs w:val="22"/>
          <w:lang w:eastAsia="en-GB"/>
        </w:rPr>
      </w:pPr>
      <w:r w:rsidRPr="00E93FD2">
        <w:rPr>
          <w:rFonts w:ascii="Arial" w:eastAsia="Times New Roman" w:hAnsi="Arial" w:cs="Arial"/>
          <w:color w:val="000000"/>
          <w:sz w:val="22"/>
          <w:szCs w:val="22"/>
          <w:lang w:eastAsia="en-GB"/>
        </w:rPr>
        <w:t xml:space="preserve">TensorFlow is an open-source library developed by Google, which simplifies the development of neural networks. It can be used in parallel with </w:t>
      </w:r>
      <w:proofErr w:type="spellStart"/>
      <w:r w:rsidRPr="00E93FD2">
        <w:rPr>
          <w:rFonts w:ascii="Arial" w:eastAsia="Times New Roman" w:hAnsi="Arial" w:cs="Arial"/>
          <w:color w:val="000000"/>
          <w:sz w:val="22"/>
          <w:szCs w:val="22"/>
          <w:lang w:eastAsia="en-GB"/>
        </w:rPr>
        <w:t>Keras</w:t>
      </w:r>
      <w:proofErr w:type="spellEnd"/>
      <w:r w:rsidRPr="00E93FD2">
        <w:rPr>
          <w:rFonts w:ascii="Arial" w:eastAsia="Times New Roman" w:hAnsi="Arial" w:cs="Arial"/>
          <w:color w:val="000000"/>
          <w:sz w:val="22"/>
          <w:szCs w:val="22"/>
          <w:lang w:eastAsia="en-GB"/>
        </w:rPr>
        <w:t xml:space="preserve">, which is a very high level API for building and training models. To begin with I built a simple univariate RNN with two LSTM layers. The data I used is pulled from Yahoo finance and consists of the daily </w:t>
      </w:r>
      <w:r w:rsidRPr="00E93FD2">
        <w:rPr>
          <w:rFonts w:ascii="Arial" w:eastAsia="Times New Roman" w:hAnsi="Arial" w:cs="Arial"/>
          <w:color w:val="000000"/>
          <w:sz w:val="22"/>
          <w:szCs w:val="22"/>
          <w:lang w:eastAsia="en-GB"/>
        </w:rPr>
        <w:lastRenderedPageBreak/>
        <w:t xml:space="preserve">close prices for Vodafone over the last 10 years. The model takes in 90 days and makes a prediction for the next 30 days. </w:t>
      </w:r>
    </w:p>
    <w:p w:rsidR="00AF6D14" w:rsidRPr="00AF6D14" w:rsidRDefault="00AF6D14" w:rsidP="00E93FD2">
      <w:pPr>
        <w:rPr>
          <w:rFonts w:ascii="Arial" w:eastAsia="Times New Roman" w:hAnsi="Arial" w:cs="Arial"/>
          <w:color w:val="000000"/>
          <w:sz w:val="22"/>
          <w:szCs w:val="22"/>
          <w:lang w:eastAsia="en-GB"/>
        </w:rPr>
      </w:pPr>
      <w:r w:rsidRPr="00AF6D14">
        <w:rPr>
          <w:noProof/>
          <w:sz w:val="22"/>
          <w:szCs w:val="22"/>
        </w:rPr>
        <mc:AlternateContent>
          <mc:Choice Requires="wps">
            <w:drawing>
              <wp:anchor distT="0" distB="0" distL="114300" distR="114300" simplePos="0" relativeHeight="251660288" behindDoc="1" locked="0" layoutInCell="1" allowOverlap="1" wp14:anchorId="421DB9A3" wp14:editId="0967802E">
                <wp:simplePos x="0" y="0"/>
                <wp:positionH relativeFrom="column">
                  <wp:posOffset>2489200</wp:posOffset>
                </wp:positionH>
                <wp:positionV relativeFrom="paragraph">
                  <wp:posOffset>2068830</wp:posOffset>
                </wp:positionV>
                <wp:extent cx="3556000" cy="635"/>
                <wp:effectExtent l="0" t="0" r="0" b="12065"/>
                <wp:wrapTight wrapText="bothSides">
                  <wp:wrapPolygon edited="0">
                    <wp:start x="0" y="0"/>
                    <wp:lineTo x="0" y="0"/>
                    <wp:lineTo x="21523" y="0"/>
                    <wp:lineTo x="2152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rsidR="00AF6D14" w:rsidRPr="00654651" w:rsidRDefault="00AF6D14" w:rsidP="00AF6D14">
                            <w:pPr>
                              <w:pStyle w:val="Caption"/>
                              <w:rPr>
                                <w:rFonts w:ascii="Times New Roman" w:eastAsia="Times New Roman" w:hAnsi="Times New Roman" w:cs="Times New Roman"/>
                                <w:noProof/>
                              </w:rPr>
                            </w:pPr>
                            <w:r>
                              <w:t xml:space="preserve">Figure </w:t>
                            </w:r>
                            <w:fldSimple w:instr=" SEQ Figure \* ARABIC ">
                              <w:r>
                                <w:rPr>
                                  <w:noProof/>
                                </w:rPr>
                                <w:t>1</w:t>
                              </w:r>
                            </w:fldSimple>
                            <w:r>
                              <w:t xml:space="preserve"> - 30 day prediction of Vodafone share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DB9A3" id="_x0000_t202" coordsize="21600,21600" o:spt="202" path="m,l,21600r21600,l21600,xe">
                <v:stroke joinstyle="miter"/>
                <v:path gradientshapeok="t" o:connecttype="rect"/>
              </v:shapetype>
              <v:shape id="Text Box 4" o:spid="_x0000_s1026" type="#_x0000_t202" style="position:absolute;margin-left:196pt;margin-top:162.9pt;width:28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" stroked="f">
                <v:textbox style="mso-fit-shape-to-text:t" inset="0,0,0,0">
                  <w:txbxContent>
                    <w:p w:rsidR="00AF6D14" w:rsidRPr="00654651" w:rsidRDefault="00AF6D14" w:rsidP="00AF6D14">
                      <w:pPr>
                        <w:pStyle w:val="Caption"/>
                        <w:rPr>
                          <w:rFonts w:ascii="Times New Roman" w:eastAsia="Times New Roman" w:hAnsi="Times New Roman" w:cs="Times New Roman"/>
                          <w:noProof/>
                        </w:rPr>
                      </w:pPr>
                      <w:r>
                        <w:t xml:space="preserve">Figure </w:t>
                      </w:r>
                      <w:fldSimple w:instr=" SEQ Figure \* ARABIC ">
                        <w:r>
                          <w:rPr>
                            <w:noProof/>
                          </w:rPr>
                          <w:t>1</w:t>
                        </w:r>
                      </w:fldSimple>
                      <w:r>
                        <w:t xml:space="preserve"> - 30 day prediction of Vodafone share price</w:t>
                      </w:r>
                    </w:p>
                  </w:txbxContent>
                </v:textbox>
                <w10:wrap type="tight"/>
              </v:shape>
            </w:pict>
          </mc:Fallback>
        </mc:AlternateContent>
      </w:r>
      <w:r w:rsidRPr="00AF6D14">
        <w:rPr>
          <w:rFonts w:ascii="Times New Roman" w:eastAsia="Times New Roman" w:hAnsi="Times New Roman" w:cs="Times New Roman"/>
          <w:noProof/>
          <w:sz w:val="22"/>
          <w:szCs w:val="22"/>
          <w:lang w:eastAsia="en-GB"/>
        </w:rPr>
        <w:drawing>
          <wp:anchor distT="0" distB="0" distL="114300" distR="114300" simplePos="0" relativeHeight="251662336" behindDoc="1" locked="0" layoutInCell="1" allowOverlap="1" wp14:anchorId="2AEDB7A6">
            <wp:simplePos x="0" y="0"/>
            <wp:positionH relativeFrom="column">
              <wp:posOffset>2832100</wp:posOffset>
            </wp:positionH>
            <wp:positionV relativeFrom="paragraph">
              <wp:posOffset>2244725</wp:posOffset>
            </wp:positionV>
            <wp:extent cx="2811145" cy="2108200"/>
            <wp:effectExtent l="0" t="0" r="0" b="0"/>
            <wp:wrapTight wrapText="bothSides">
              <wp:wrapPolygon edited="0">
                <wp:start x="0" y="0"/>
                <wp:lineTo x="0" y="21470"/>
                <wp:lineTo x="21468" y="21470"/>
                <wp:lineTo x="2146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_retur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1145" cy="2108200"/>
                    </a:xfrm>
                    <a:prstGeom prst="rect">
                      <a:avLst/>
                    </a:prstGeom>
                  </pic:spPr>
                </pic:pic>
              </a:graphicData>
            </a:graphic>
            <wp14:sizeRelH relativeFrom="page">
              <wp14:pctWidth>0</wp14:pctWidth>
            </wp14:sizeRelH>
            <wp14:sizeRelV relativeFrom="page">
              <wp14:pctHeight>0</wp14:pctHeight>
            </wp14:sizeRelV>
          </wp:anchor>
        </w:drawing>
      </w:r>
      <w:r w:rsidRPr="00AF6D14">
        <w:rPr>
          <w:noProof/>
          <w:sz w:val="22"/>
          <w:szCs w:val="22"/>
        </w:rPr>
        <mc:AlternateContent>
          <mc:Choice Requires="wps">
            <w:drawing>
              <wp:anchor distT="0" distB="0" distL="114300" distR="114300" simplePos="0" relativeHeight="251666432" behindDoc="1" locked="0" layoutInCell="1" allowOverlap="1" wp14:anchorId="343E0A33" wp14:editId="4B1A1E31">
                <wp:simplePos x="0" y="0"/>
                <wp:positionH relativeFrom="column">
                  <wp:posOffset>2959100</wp:posOffset>
                </wp:positionH>
                <wp:positionV relativeFrom="paragraph">
                  <wp:posOffset>4356100</wp:posOffset>
                </wp:positionV>
                <wp:extent cx="2738755" cy="635"/>
                <wp:effectExtent l="0" t="0" r="4445" b="12065"/>
                <wp:wrapTight wrapText="bothSides">
                  <wp:wrapPolygon edited="0">
                    <wp:start x="0" y="0"/>
                    <wp:lineTo x="0" y="0"/>
                    <wp:lineTo x="21535" y="0"/>
                    <wp:lineTo x="2153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38755" cy="635"/>
                        </a:xfrm>
                        <a:prstGeom prst="rect">
                          <a:avLst/>
                        </a:prstGeom>
                        <a:solidFill>
                          <a:prstClr val="white"/>
                        </a:solidFill>
                        <a:ln>
                          <a:noFill/>
                        </a:ln>
                      </wps:spPr>
                      <wps:txbx>
                        <w:txbxContent>
                          <w:p w:rsidR="00AF6D14" w:rsidRPr="00AF6D14" w:rsidRDefault="00AF6D14" w:rsidP="00AF6D14">
                            <w:pPr>
                              <w:pStyle w:val="Caption"/>
                              <w:rPr>
                                <w:rFonts w:ascii="Times New Roman" w:eastAsia="Times New Roman" w:hAnsi="Times New Roman" w:cs="Times New Roman"/>
                                <w:noProof/>
                                <w:sz w:val="14"/>
                                <w:szCs w:val="14"/>
                              </w:rPr>
                            </w:pPr>
                            <w:r w:rsidRPr="00AF6D14">
                              <w:rPr>
                                <w:sz w:val="14"/>
                                <w:szCs w:val="14"/>
                              </w:rPr>
                              <w:t>Figure 3 - Returns of the anti-causal moving average strategy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E0A33" id="Text Box 6" o:spid="_x0000_s1027" type="#_x0000_t202" style="position:absolute;margin-left:233pt;margin-top:343pt;width:215.6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" stroked="f">
                <v:textbox style="mso-fit-shape-to-text:t" inset="0,0,0,0">
                  <w:txbxContent>
                    <w:p w:rsidR="00AF6D14" w:rsidRPr="00AF6D14" w:rsidRDefault="00AF6D14" w:rsidP="00AF6D14">
                      <w:pPr>
                        <w:pStyle w:val="Caption"/>
                        <w:rPr>
                          <w:rFonts w:ascii="Times New Roman" w:eastAsia="Times New Roman" w:hAnsi="Times New Roman" w:cs="Times New Roman"/>
                          <w:noProof/>
                          <w:sz w:val="14"/>
                          <w:szCs w:val="14"/>
                        </w:rPr>
                      </w:pPr>
                      <w:r w:rsidRPr="00AF6D14">
                        <w:rPr>
                          <w:sz w:val="14"/>
                          <w:szCs w:val="14"/>
                        </w:rPr>
                        <w:t>Figure 3 - Returns of the anti-causal moving average strategy</w:t>
                      </w:r>
                    </w:p>
                  </w:txbxContent>
                </v:textbox>
                <w10:wrap type="tight"/>
              </v:shape>
            </w:pict>
          </mc:Fallback>
        </mc:AlternateContent>
      </w:r>
      <w:r w:rsidRPr="00AF6D14">
        <w:rPr>
          <w:noProof/>
          <w:sz w:val="22"/>
          <w:szCs w:val="22"/>
        </w:rPr>
        <mc:AlternateContent>
          <mc:Choice Requires="wps">
            <w:drawing>
              <wp:anchor distT="0" distB="0" distL="114300" distR="114300" simplePos="0" relativeHeight="251664384" behindDoc="1" locked="0" layoutInCell="1" allowOverlap="1" wp14:anchorId="4DA954BF" wp14:editId="74250850">
                <wp:simplePos x="0" y="0"/>
                <wp:positionH relativeFrom="column">
                  <wp:posOffset>-76200</wp:posOffset>
                </wp:positionH>
                <wp:positionV relativeFrom="paragraph">
                  <wp:posOffset>4355465</wp:posOffset>
                </wp:positionV>
                <wp:extent cx="2730500" cy="635"/>
                <wp:effectExtent l="0" t="0" r="0" b="635"/>
                <wp:wrapTight wrapText="bothSides">
                  <wp:wrapPolygon edited="0">
                    <wp:start x="0" y="0"/>
                    <wp:lineTo x="0" y="20958"/>
                    <wp:lineTo x="21500" y="20958"/>
                    <wp:lineTo x="215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rsidR="00AF6D14" w:rsidRPr="00AF6D14" w:rsidRDefault="00AF6D14" w:rsidP="00AF6D14">
                            <w:pPr>
                              <w:pStyle w:val="Caption"/>
                              <w:rPr>
                                <w:rFonts w:ascii="Times New Roman" w:eastAsia="Times New Roman" w:hAnsi="Times New Roman" w:cs="Times New Roman"/>
                                <w:noProof/>
                                <w:sz w:val="14"/>
                                <w:szCs w:val="14"/>
                              </w:rPr>
                            </w:pPr>
                            <w:r w:rsidRPr="00AF6D14">
                              <w:rPr>
                                <w:sz w:val="14"/>
                                <w:szCs w:val="14"/>
                              </w:rPr>
                              <w:t>Figure 2 - Demonstration of anti-causal moving average strategy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954BF" id="Text Box 5" o:spid="_x0000_s1028" type="#_x0000_t202" style="position:absolute;margin-left:-6pt;margin-top:342.95pt;width:21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" stroked="f">
                <v:textbox style="mso-fit-shape-to-text:t" inset="0,0,0,0">
                  <w:txbxContent>
                    <w:p w:rsidR="00AF6D14" w:rsidRPr="00AF6D14" w:rsidRDefault="00AF6D14" w:rsidP="00AF6D14">
                      <w:pPr>
                        <w:pStyle w:val="Caption"/>
                        <w:rPr>
                          <w:rFonts w:ascii="Times New Roman" w:eastAsia="Times New Roman" w:hAnsi="Times New Roman" w:cs="Times New Roman"/>
                          <w:noProof/>
                          <w:sz w:val="14"/>
                          <w:szCs w:val="14"/>
                        </w:rPr>
                      </w:pPr>
                      <w:r w:rsidRPr="00AF6D14">
                        <w:rPr>
                          <w:sz w:val="14"/>
                          <w:szCs w:val="14"/>
                        </w:rPr>
                        <w:t>Figure 2 - Demonstration of anti-causal moving average strategy</w:t>
                      </w:r>
                    </w:p>
                  </w:txbxContent>
                </v:textbox>
                <w10:wrap type="tight"/>
              </v:shape>
            </w:pict>
          </mc:Fallback>
        </mc:AlternateContent>
      </w:r>
      <w:r w:rsidRPr="00AF6D14">
        <w:rPr>
          <w:rFonts w:ascii="Times New Roman" w:eastAsia="Times New Roman" w:hAnsi="Times New Roman" w:cs="Times New Roman"/>
          <w:noProof/>
          <w:sz w:val="22"/>
          <w:szCs w:val="22"/>
          <w:lang w:eastAsia="en-GB"/>
        </w:rPr>
        <w:drawing>
          <wp:anchor distT="0" distB="0" distL="114300" distR="114300" simplePos="0" relativeHeight="251661312" behindDoc="1" locked="0" layoutInCell="1" allowOverlap="1">
            <wp:simplePos x="0" y="0"/>
            <wp:positionH relativeFrom="column">
              <wp:posOffset>-76200</wp:posOffset>
            </wp:positionH>
            <wp:positionV relativeFrom="paragraph">
              <wp:posOffset>2247900</wp:posOffset>
            </wp:positionV>
            <wp:extent cx="2819400" cy="2114550"/>
            <wp:effectExtent l="0" t="0" r="0" b="6350"/>
            <wp:wrapTight wrapText="bothSides">
              <wp:wrapPolygon edited="0">
                <wp:start x="0" y="0"/>
                <wp:lineTo x="0" y="21535"/>
                <wp:lineTo x="21503" y="21535"/>
                <wp:lineTo x="21503"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_crossov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400" cy="2114550"/>
                    </a:xfrm>
                    <a:prstGeom prst="rect">
                      <a:avLst/>
                    </a:prstGeom>
                  </pic:spPr>
                </pic:pic>
              </a:graphicData>
            </a:graphic>
            <wp14:sizeRelH relativeFrom="page">
              <wp14:pctWidth>0</wp14:pctWidth>
            </wp14:sizeRelH>
            <wp14:sizeRelV relativeFrom="page">
              <wp14:pctHeight>0</wp14:pctHeight>
            </wp14:sizeRelV>
          </wp:anchor>
        </w:drawing>
      </w:r>
      <w:r w:rsidRPr="00AF6D14">
        <w:rPr>
          <w:rFonts w:ascii="Times New Roman" w:eastAsia="Times New Roman" w:hAnsi="Times New Roman" w:cs="Times New Roman"/>
          <w:noProof/>
          <w:sz w:val="22"/>
          <w:szCs w:val="22"/>
          <w:lang w:eastAsia="en-GB"/>
        </w:rPr>
        <w:drawing>
          <wp:anchor distT="0" distB="0" distL="114300" distR="114300" simplePos="0" relativeHeight="251658240" behindDoc="1" locked="0" layoutInCell="1" allowOverlap="1">
            <wp:simplePos x="0" y="0"/>
            <wp:positionH relativeFrom="column">
              <wp:posOffset>2260600</wp:posOffset>
            </wp:positionH>
            <wp:positionV relativeFrom="paragraph">
              <wp:posOffset>286385</wp:posOffset>
            </wp:positionV>
            <wp:extent cx="3556000" cy="1778000"/>
            <wp:effectExtent l="0" t="0" r="0" b="0"/>
            <wp:wrapTight wrapText="bothSides">
              <wp:wrapPolygon edited="0">
                <wp:start x="0" y="0"/>
                <wp:lineTo x="0" y="21446"/>
                <wp:lineTo x="21523" y="21446"/>
                <wp:lineTo x="21523"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day_predici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6000" cy="1778000"/>
                    </a:xfrm>
                    <a:prstGeom prst="rect">
                      <a:avLst/>
                    </a:prstGeom>
                  </pic:spPr>
                </pic:pic>
              </a:graphicData>
            </a:graphic>
            <wp14:sizeRelH relativeFrom="page">
              <wp14:pctWidth>0</wp14:pctWidth>
            </wp14:sizeRelH>
            <wp14:sizeRelV relativeFrom="page">
              <wp14:pctHeight>0</wp14:pctHeight>
            </wp14:sizeRelV>
          </wp:anchor>
        </w:drawing>
      </w:r>
      <w:r w:rsidR="00E93FD2" w:rsidRPr="00E93FD2">
        <w:rPr>
          <w:rFonts w:ascii="Arial" w:eastAsia="Times New Roman" w:hAnsi="Arial" w:cs="Arial"/>
          <w:color w:val="000000"/>
          <w:sz w:val="22"/>
          <w:szCs w:val="22"/>
          <w:lang w:eastAsia="en-GB"/>
        </w:rPr>
        <w:t>To develop this further I created a multivariate model, the extra data set being a set of buy/sell labels. In order to create this data set I used an anti-causal moving average strategy, which can be shown to produce incredible returns when back tested.</w:t>
      </w:r>
    </w:p>
    <w:p w:rsidR="00AF6D14" w:rsidRPr="00AF6D14" w:rsidRDefault="00AF6D14" w:rsidP="00E93FD2">
      <w:pPr>
        <w:rPr>
          <w:rFonts w:ascii="Arial" w:eastAsia="Times New Roman" w:hAnsi="Arial" w:cs="Arial"/>
          <w:b/>
          <w:bCs/>
          <w:color w:val="000000"/>
          <w:sz w:val="22"/>
          <w:szCs w:val="22"/>
          <w:lang w:eastAsia="en-GB"/>
        </w:rPr>
      </w:pPr>
    </w:p>
    <w:p w:rsidR="00AF6D14" w:rsidRPr="00E93FD2" w:rsidRDefault="00E93FD2" w:rsidP="00E93FD2">
      <w:pPr>
        <w:rPr>
          <w:rFonts w:ascii="Times New Roman" w:eastAsia="Times New Roman" w:hAnsi="Times New Roman" w:cs="Times New Roman"/>
          <w:sz w:val="22"/>
          <w:szCs w:val="22"/>
          <w:lang w:eastAsia="en-GB"/>
        </w:rPr>
      </w:pPr>
      <w:r w:rsidRPr="00E93FD2">
        <w:rPr>
          <w:rFonts w:ascii="Arial" w:eastAsia="Times New Roman" w:hAnsi="Arial" w:cs="Arial"/>
          <w:b/>
          <w:bCs/>
          <w:color w:val="000000"/>
          <w:sz w:val="22"/>
          <w:szCs w:val="22"/>
          <w:lang w:eastAsia="en-GB"/>
        </w:rPr>
        <w:t>Going forward</w:t>
      </w:r>
    </w:p>
    <w:p w:rsidR="00282336" w:rsidRPr="00AF6D14" w:rsidRDefault="00E93FD2">
      <w:pPr>
        <w:rPr>
          <w:rFonts w:ascii="Times New Roman" w:eastAsia="Times New Roman" w:hAnsi="Times New Roman" w:cs="Times New Roman"/>
          <w:sz w:val="22"/>
          <w:szCs w:val="22"/>
          <w:lang w:eastAsia="en-GB"/>
        </w:rPr>
      </w:pPr>
      <w:r w:rsidRPr="00E93FD2">
        <w:rPr>
          <w:rFonts w:ascii="Arial" w:eastAsia="Times New Roman" w:hAnsi="Arial" w:cs="Arial"/>
          <w:color w:val="000000"/>
          <w:sz w:val="22"/>
          <w:szCs w:val="22"/>
          <w:lang w:eastAsia="en-GB"/>
        </w:rPr>
        <w:t xml:space="preserve">Going forward I’m going to create a set of tools to help assess the effectiveness of these strategies. This will be done by using a monte </w:t>
      </w:r>
      <w:proofErr w:type="spellStart"/>
      <w:r w:rsidRPr="00E93FD2">
        <w:rPr>
          <w:rFonts w:ascii="Arial" w:eastAsia="Times New Roman" w:hAnsi="Arial" w:cs="Arial"/>
          <w:color w:val="000000"/>
          <w:sz w:val="22"/>
          <w:szCs w:val="22"/>
          <w:lang w:eastAsia="en-GB"/>
        </w:rPr>
        <w:t>carlo</w:t>
      </w:r>
      <w:proofErr w:type="spellEnd"/>
      <w:r w:rsidRPr="00E93FD2">
        <w:rPr>
          <w:rFonts w:ascii="Arial" w:eastAsia="Times New Roman" w:hAnsi="Arial" w:cs="Arial"/>
          <w:color w:val="000000"/>
          <w:sz w:val="22"/>
          <w:szCs w:val="22"/>
          <w:lang w:eastAsia="en-GB"/>
        </w:rPr>
        <w:t xml:space="preserve"> method on a completely random trading strategy. The data collected from this can be used to create significance levels for the returns produced by a trading strategy. I will then be able to test the effectiveness of the neural network model I created earlier along with several other models. Some ideas are a non-uniform moving average trading strategy, in which the optimal weights of the moving average are determined using deep learning. I also look to explore how information can be extracted from limit order books further, especially in multivariate data streams such as in a triangular arbitrage scenario. </w:t>
      </w:r>
      <w:bookmarkStart w:id="0" w:name="_GoBack"/>
      <w:bookmarkEnd w:id="0"/>
    </w:p>
    <w:sdt>
      <w:sdtPr>
        <w:rPr>
          <w:sz w:val="22"/>
          <w:szCs w:val="22"/>
        </w:rPr>
        <w:id w:val="290406046"/>
        <w:docPartObj>
          <w:docPartGallery w:val="Bibliographies"/>
          <w:docPartUnique/>
        </w:docPartObj>
      </w:sdtPr>
      <w:sdtEndPr>
        <w:rPr>
          <w:rFonts w:asciiTheme="minorHAnsi" w:eastAsiaTheme="minorHAnsi" w:hAnsiTheme="minorHAnsi" w:cstheme="minorBidi"/>
          <w:b w:val="0"/>
          <w:bCs w:val="0"/>
          <w:color w:val="auto"/>
          <w:lang w:val="en-GB" w:bidi="ar-SA"/>
        </w:rPr>
      </w:sdtEndPr>
      <w:sdtContent>
        <w:p w:rsidR="00282336" w:rsidRPr="00AF6D14" w:rsidRDefault="00AF6D14">
          <w:pPr>
            <w:pStyle w:val="Heading1"/>
            <w:rPr>
              <w:sz w:val="22"/>
              <w:szCs w:val="22"/>
            </w:rPr>
          </w:pPr>
          <w:r w:rsidRPr="00AF6D14">
            <w:rPr>
              <w:sz w:val="22"/>
              <w:szCs w:val="22"/>
            </w:rPr>
            <w:t>References</w:t>
          </w:r>
        </w:p>
        <w:sdt>
          <w:sdtPr>
            <w:rPr>
              <w:sz w:val="22"/>
              <w:szCs w:val="22"/>
            </w:rPr>
            <w:id w:val="111145805"/>
            <w:bibliography/>
          </w:sdtPr>
          <w:sdtContent>
            <w:p w:rsidR="00282336" w:rsidRPr="00AF6D14" w:rsidRDefault="00282336">
              <w:pPr>
                <w:rPr>
                  <w:noProof/>
                  <w:sz w:val="22"/>
                  <w:szCs w:val="22"/>
                </w:rPr>
              </w:pPr>
              <w:r w:rsidRPr="00AF6D14">
                <w:rPr>
                  <w:sz w:val="22"/>
                  <w:szCs w:val="22"/>
                </w:rPr>
                <w:fldChar w:fldCharType="begin"/>
              </w:r>
              <w:r w:rsidRPr="00AF6D14">
                <w:rPr>
                  <w:sz w:val="22"/>
                  <w:szCs w:val="22"/>
                </w:rPr>
                <w:instrText xml:space="preserve"> BIBLIOGRAPHY </w:instrText>
              </w:r>
              <w:r w:rsidRPr="00AF6D14">
                <w:rPr>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282336" w:rsidRPr="00AF6D14">
                <w:trPr>
                  <w:divId w:val="856963797"/>
                  <w:tblCellSpacing w:w="15" w:type="dxa"/>
                </w:trPr>
                <w:tc>
                  <w:tcPr>
                    <w:tcW w:w="50" w:type="pct"/>
                    <w:hideMark/>
                  </w:tcPr>
                  <w:p w:rsidR="00282336" w:rsidRPr="00AF6D14" w:rsidRDefault="00282336">
                    <w:pPr>
                      <w:pStyle w:val="Bibliography"/>
                      <w:rPr>
                        <w:noProof/>
                        <w:sz w:val="22"/>
                        <w:szCs w:val="22"/>
                        <w:lang w:val="en-US"/>
                      </w:rPr>
                    </w:pPr>
                    <w:r w:rsidRPr="00AF6D14">
                      <w:rPr>
                        <w:noProof/>
                        <w:sz w:val="22"/>
                        <w:szCs w:val="22"/>
                        <w:lang w:val="en-US"/>
                      </w:rPr>
                      <w:t xml:space="preserve">[1] </w:t>
                    </w:r>
                  </w:p>
                </w:tc>
                <w:tc>
                  <w:tcPr>
                    <w:tcW w:w="0" w:type="auto"/>
                    <w:hideMark/>
                  </w:tcPr>
                  <w:p w:rsidR="00282336" w:rsidRPr="00AF6D14" w:rsidRDefault="00AF6D14" w:rsidP="00AF6D14">
                    <w:pPr>
                      <w:rPr>
                        <w:sz w:val="22"/>
                        <w:szCs w:val="22"/>
                      </w:rPr>
                    </w:pPr>
                    <w:proofErr w:type="spellStart"/>
                    <w:r w:rsidRPr="00AF6D14">
                      <w:rPr>
                        <w:sz w:val="22"/>
                        <w:szCs w:val="22"/>
                      </w:rPr>
                      <w:t>Zihao</w:t>
                    </w:r>
                    <w:proofErr w:type="spellEnd"/>
                    <w:r w:rsidRPr="00AF6D14">
                      <w:rPr>
                        <w:sz w:val="22"/>
                        <w:szCs w:val="22"/>
                      </w:rPr>
                      <w:t xml:space="preserve"> Zhang, Stefan </w:t>
                    </w:r>
                    <w:proofErr w:type="spellStart"/>
                    <w:r w:rsidRPr="00AF6D14">
                      <w:rPr>
                        <w:sz w:val="22"/>
                        <w:szCs w:val="22"/>
                      </w:rPr>
                      <w:t>Zohren</w:t>
                    </w:r>
                    <w:proofErr w:type="spellEnd"/>
                    <w:r w:rsidRPr="00AF6D14">
                      <w:rPr>
                        <w:sz w:val="22"/>
                        <w:szCs w:val="22"/>
                      </w:rPr>
                      <w:t>, and Stephen Roberts</w:t>
                    </w:r>
                    <w:r w:rsidR="00282336" w:rsidRPr="00AF6D14">
                      <w:rPr>
                        <w:noProof/>
                        <w:sz w:val="22"/>
                        <w:szCs w:val="22"/>
                        <w:lang w:val="en-US"/>
                      </w:rPr>
                      <w:t>, "DeepLOB: Deep Convolutional Neural Networks for Limit Order Books," University of Oxford, Oxford, 2019.</w:t>
                    </w:r>
                  </w:p>
                </w:tc>
              </w:tr>
              <w:tr w:rsidR="00282336" w:rsidRPr="00AF6D14">
                <w:trPr>
                  <w:divId w:val="856963797"/>
                  <w:tblCellSpacing w:w="15" w:type="dxa"/>
                </w:trPr>
                <w:tc>
                  <w:tcPr>
                    <w:tcW w:w="50" w:type="pct"/>
                    <w:hideMark/>
                  </w:tcPr>
                  <w:p w:rsidR="00282336" w:rsidRPr="00AF6D14" w:rsidRDefault="00282336">
                    <w:pPr>
                      <w:pStyle w:val="Bibliography"/>
                      <w:rPr>
                        <w:noProof/>
                        <w:sz w:val="22"/>
                        <w:szCs w:val="22"/>
                        <w:lang w:val="en-US"/>
                      </w:rPr>
                    </w:pPr>
                    <w:r w:rsidRPr="00AF6D14">
                      <w:rPr>
                        <w:noProof/>
                        <w:sz w:val="22"/>
                        <w:szCs w:val="22"/>
                        <w:lang w:val="en-US"/>
                      </w:rPr>
                      <w:t xml:space="preserve">[2] </w:t>
                    </w:r>
                  </w:p>
                </w:tc>
                <w:tc>
                  <w:tcPr>
                    <w:tcW w:w="0" w:type="auto"/>
                    <w:hideMark/>
                  </w:tcPr>
                  <w:p w:rsidR="00282336" w:rsidRPr="00AF6D14" w:rsidRDefault="00AF6D14" w:rsidP="00AF6D14">
                    <w:pPr>
                      <w:rPr>
                        <w:sz w:val="22"/>
                        <w:szCs w:val="22"/>
                      </w:rPr>
                    </w:pPr>
                    <w:r w:rsidRPr="00AF6D14">
                      <w:rPr>
                        <w:sz w:val="22"/>
                        <w:szCs w:val="22"/>
                      </w:rPr>
                      <w:t>S. Roberts, M. Osborne</w:t>
                    </w:r>
                    <w:r w:rsidRPr="00AF6D14">
                      <w:rPr>
                        <w:sz w:val="22"/>
                        <w:szCs w:val="22"/>
                      </w:rPr>
                      <w:t xml:space="preserve"> </w:t>
                    </w:r>
                    <w:r w:rsidRPr="00AF6D14">
                      <w:rPr>
                        <w:sz w:val="22"/>
                        <w:szCs w:val="22"/>
                      </w:rPr>
                      <w:t xml:space="preserve">, M. </w:t>
                    </w:r>
                    <w:proofErr w:type="spellStart"/>
                    <w:r w:rsidRPr="00AF6D14">
                      <w:rPr>
                        <w:sz w:val="22"/>
                        <w:szCs w:val="22"/>
                      </w:rPr>
                      <w:t>Ebden</w:t>
                    </w:r>
                    <w:proofErr w:type="spellEnd"/>
                    <w:r w:rsidRPr="00AF6D14">
                      <w:rPr>
                        <w:sz w:val="22"/>
                        <w:szCs w:val="22"/>
                      </w:rPr>
                      <w:t xml:space="preserve"> , S. Reece</w:t>
                    </w:r>
                    <w:r w:rsidR="00282336" w:rsidRPr="00AF6D14">
                      <w:rPr>
                        <w:noProof/>
                        <w:sz w:val="22"/>
                        <w:szCs w:val="22"/>
                        <w:lang w:val="en-US"/>
                      </w:rPr>
                      <w:t>, "Gaussian Processes for Timeseries Modelling," University of Oxford, Oxford, 2012.</w:t>
                    </w:r>
                  </w:p>
                </w:tc>
              </w:tr>
              <w:tr w:rsidR="00282336" w:rsidRPr="00AF6D14">
                <w:trPr>
                  <w:divId w:val="856963797"/>
                  <w:tblCellSpacing w:w="15" w:type="dxa"/>
                </w:trPr>
                <w:tc>
                  <w:tcPr>
                    <w:tcW w:w="50" w:type="pct"/>
                    <w:hideMark/>
                  </w:tcPr>
                  <w:p w:rsidR="00282336" w:rsidRPr="00AF6D14" w:rsidRDefault="00282336">
                    <w:pPr>
                      <w:pStyle w:val="Bibliography"/>
                      <w:rPr>
                        <w:noProof/>
                        <w:sz w:val="22"/>
                        <w:szCs w:val="22"/>
                        <w:lang w:val="en-US"/>
                      </w:rPr>
                    </w:pPr>
                    <w:r w:rsidRPr="00AF6D14">
                      <w:rPr>
                        <w:noProof/>
                        <w:sz w:val="22"/>
                        <w:szCs w:val="22"/>
                        <w:lang w:val="en-US"/>
                      </w:rPr>
                      <w:t xml:space="preserve">[3] </w:t>
                    </w:r>
                  </w:p>
                </w:tc>
                <w:tc>
                  <w:tcPr>
                    <w:tcW w:w="0" w:type="auto"/>
                    <w:hideMark/>
                  </w:tcPr>
                  <w:p w:rsidR="00282336" w:rsidRPr="00AF6D14" w:rsidRDefault="00AF6D14" w:rsidP="00AF6D14">
                    <w:pPr>
                      <w:rPr>
                        <w:sz w:val="22"/>
                        <w:szCs w:val="22"/>
                      </w:rPr>
                    </w:pPr>
                    <w:r w:rsidRPr="00AF6D14">
                      <w:rPr>
                        <w:sz w:val="22"/>
                        <w:szCs w:val="22"/>
                      </w:rPr>
                      <w:t xml:space="preserve">Bryan Lim, Stefan </w:t>
                    </w:r>
                    <w:proofErr w:type="spellStart"/>
                    <w:r w:rsidRPr="00AF6D14">
                      <w:rPr>
                        <w:sz w:val="22"/>
                        <w:szCs w:val="22"/>
                      </w:rPr>
                      <w:t>Zohren</w:t>
                    </w:r>
                    <w:proofErr w:type="spellEnd"/>
                    <w:r w:rsidRPr="00AF6D14">
                      <w:rPr>
                        <w:sz w:val="22"/>
                        <w:szCs w:val="22"/>
                      </w:rPr>
                      <w:t>, Stephen Roberts</w:t>
                    </w:r>
                    <w:r w:rsidR="00282336" w:rsidRPr="00AF6D14">
                      <w:rPr>
                        <w:noProof/>
                        <w:sz w:val="22"/>
                        <w:szCs w:val="22"/>
                        <w:lang w:val="en-US"/>
                      </w:rPr>
                      <w:t>, "Enhancing Time Series Momentum Strategies Using Deep Neural Networks," University of Oxford, Oxford, 2019.</w:t>
                    </w:r>
                  </w:p>
                </w:tc>
              </w:tr>
            </w:tbl>
            <w:p w:rsidR="00282336" w:rsidRPr="00AF6D14" w:rsidRDefault="00282336">
              <w:pPr>
                <w:divId w:val="856963797"/>
                <w:rPr>
                  <w:rFonts w:eastAsia="Times New Roman"/>
                  <w:noProof/>
                  <w:sz w:val="22"/>
                  <w:szCs w:val="22"/>
                </w:rPr>
              </w:pPr>
            </w:p>
            <w:p w:rsidR="00282336" w:rsidRPr="00AF6D14" w:rsidRDefault="00282336">
              <w:pPr>
                <w:rPr>
                  <w:sz w:val="22"/>
                  <w:szCs w:val="22"/>
                </w:rPr>
              </w:pPr>
              <w:r w:rsidRPr="00AF6D14">
                <w:rPr>
                  <w:b/>
                  <w:bCs/>
                  <w:noProof/>
                  <w:sz w:val="22"/>
                  <w:szCs w:val="22"/>
                </w:rPr>
                <w:fldChar w:fldCharType="end"/>
              </w:r>
            </w:p>
          </w:sdtContent>
        </w:sdt>
      </w:sdtContent>
    </w:sdt>
    <w:p w:rsidR="00282336" w:rsidRPr="00AF6D14" w:rsidRDefault="00282336">
      <w:pPr>
        <w:rPr>
          <w:sz w:val="22"/>
          <w:szCs w:val="22"/>
        </w:rPr>
      </w:pPr>
    </w:p>
    <w:sectPr w:rsidR="00282336" w:rsidRPr="00AF6D14" w:rsidSect="00D543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D2"/>
    <w:rsid w:val="00282336"/>
    <w:rsid w:val="003B2031"/>
    <w:rsid w:val="00452DEC"/>
    <w:rsid w:val="00474530"/>
    <w:rsid w:val="00AF6D14"/>
    <w:rsid w:val="00B578DA"/>
    <w:rsid w:val="00CA54B1"/>
    <w:rsid w:val="00CD5589"/>
    <w:rsid w:val="00D54344"/>
    <w:rsid w:val="00E93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4B5F"/>
  <w15:chartTrackingRefBased/>
  <w15:docId w15:val="{A6E5186B-A46F-4644-8BEB-6EAFDCDA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33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FD2"/>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282336"/>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82336"/>
  </w:style>
  <w:style w:type="paragraph" w:styleId="Caption">
    <w:name w:val="caption"/>
    <w:basedOn w:val="Normal"/>
    <w:next w:val="Normal"/>
    <w:uiPriority w:val="35"/>
    <w:unhideWhenUsed/>
    <w:qFormat/>
    <w:rsid w:val="00AF6D1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1254">
      <w:bodyDiv w:val="1"/>
      <w:marLeft w:val="0"/>
      <w:marRight w:val="0"/>
      <w:marTop w:val="0"/>
      <w:marBottom w:val="0"/>
      <w:divBdr>
        <w:top w:val="none" w:sz="0" w:space="0" w:color="auto"/>
        <w:left w:val="none" w:sz="0" w:space="0" w:color="auto"/>
        <w:bottom w:val="none" w:sz="0" w:space="0" w:color="auto"/>
        <w:right w:val="none" w:sz="0" w:space="0" w:color="auto"/>
      </w:divBdr>
    </w:div>
    <w:div w:id="60718341">
      <w:bodyDiv w:val="1"/>
      <w:marLeft w:val="0"/>
      <w:marRight w:val="0"/>
      <w:marTop w:val="0"/>
      <w:marBottom w:val="0"/>
      <w:divBdr>
        <w:top w:val="none" w:sz="0" w:space="0" w:color="auto"/>
        <w:left w:val="none" w:sz="0" w:space="0" w:color="auto"/>
        <w:bottom w:val="none" w:sz="0" w:space="0" w:color="auto"/>
        <w:right w:val="none" w:sz="0" w:space="0" w:color="auto"/>
      </w:divBdr>
    </w:div>
    <w:div w:id="100538875">
      <w:bodyDiv w:val="1"/>
      <w:marLeft w:val="0"/>
      <w:marRight w:val="0"/>
      <w:marTop w:val="0"/>
      <w:marBottom w:val="0"/>
      <w:divBdr>
        <w:top w:val="none" w:sz="0" w:space="0" w:color="auto"/>
        <w:left w:val="none" w:sz="0" w:space="0" w:color="auto"/>
        <w:bottom w:val="none" w:sz="0" w:space="0" w:color="auto"/>
        <w:right w:val="none" w:sz="0" w:space="0" w:color="auto"/>
      </w:divBdr>
    </w:div>
    <w:div w:id="268395270">
      <w:bodyDiv w:val="1"/>
      <w:marLeft w:val="0"/>
      <w:marRight w:val="0"/>
      <w:marTop w:val="0"/>
      <w:marBottom w:val="0"/>
      <w:divBdr>
        <w:top w:val="none" w:sz="0" w:space="0" w:color="auto"/>
        <w:left w:val="none" w:sz="0" w:space="0" w:color="auto"/>
        <w:bottom w:val="none" w:sz="0" w:space="0" w:color="auto"/>
        <w:right w:val="none" w:sz="0" w:space="0" w:color="auto"/>
      </w:divBdr>
    </w:div>
    <w:div w:id="488517915">
      <w:bodyDiv w:val="1"/>
      <w:marLeft w:val="0"/>
      <w:marRight w:val="0"/>
      <w:marTop w:val="0"/>
      <w:marBottom w:val="0"/>
      <w:divBdr>
        <w:top w:val="none" w:sz="0" w:space="0" w:color="auto"/>
        <w:left w:val="none" w:sz="0" w:space="0" w:color="auto"/>
        <w:bottom w:val="none" w:sz="0" w:space="0" w:color="auto"/>
        <w:right w:val="none" w:sz="0" w:space="0" w:color="auto"/>
      </w:divBdr>
    </w:div>
    <w:div w:id="696470883">
      <w:bodyDiv w:val="1"/>
      <w:marLeft w:val="0"/>
      <w:marRight w:val="0"/>
      <w:marTop w:val="0"/>
      <w:marBottom w:val="0"/>
      <w:divBdr>
        <w:top w:val="none" w:sz="0" w:space="0" w:color="auto"/>
        <w:left w:val="none" w:sz="0" w:space="0" w:color="auto"/>
        <w:bottom w:val="none" w:sz="0" w:space="0" w:color="auto"/>
        <w:right w:val="none" w:sz="0" w:space="0" w:color="auto"/>
      </w:divBdr>
    </w:div>
    <w:div w:id="856963797">
      <w:bodyDiv w:val="1"/>
      <w:marLeft w:val="0"/>
      <w:marRight w:val="0"/>
      <w:marTop w:val="0"/>
      <w:marBottom w:val="0"/>
      <w:divBdr>
        <w:top w:val="none" w:sz="0" w:space="0" w:color="auto"/>
        <w:left w:val="none" w:sz="0" w:space="0" w:color="auto"/>
        <w:bottom w:val="none" w:sz="0" w:space="0" w:color="auto"/>
        <w:right w:val="none" w:sz="0" w:space="0" w:color="auto"/>
      </w:divBdr>
    </w:div>
    <w:div w:id="862281068">
      <w:bodyDiv w:val="1"/>
      <w:marLeft w:val="0"/>
      <w:marRight w:val="0"/>
      <w:marTop w:val="0"/>
      <w:marBottom w:val="0"/>
      <w:divBdr>
        <w:top w:val="none" w:sz="0" w:space="0" w:color="auto"/>
        <w:left w:val="none" w:sz="0" w:space="0" w:color="auto"/>
        <w:bottom w:val="none" w:sz="0" w:space="0" w:color="auto"/>
        <w:right w:val="none" w:sz="0" w:space="0" w:color="auto"/>
      </w:divBdr>
    </w:div>
    <w:div w:id="1169293914">
      <w:bodyDiv w:val="1"/>
      <w:marLeft w:val="0"/>
      <w:marRight w:val="0"/>
      <w:marTop w:val="0"/>
      <w:marBottom w:val="0"/>
      <w:divBdr>
        <w:top w:val="none" w:sz="0" w:space="0" w:color="auto"/>
        <w:left w:val="none" w:sz="0" w:space="0" w:color="auto"/>
        <w:bottom w:val="none" w:sz="0" w:space="0" w:color="auto"/>
        <w:right w:val="none" w:sz="0" w:space="0" w:color="auto"/>
      </w:divBdr>
    </w:div>
    <w:div w:id="1774475213">
      <w:bodyDiv w:val="1"/>
      <w:marLeft w:val="0"/>
      <w:marRight w:val="0"/>
      <w:marTop w:val="0"/>
      <w:marBottom w:val="0"/>
      <w:divBdr>
        <w:top w:val="none" w:sz="0" w:space="0" w:color="auto"/>
        <w:left w:val="none" w:sz="0" w:space="0" w:color="auto"/>
        <w:bottom w:val="none" w:sz="0" w:space="0" w:color="auto"/>
        <w:right w:val="none" w:sz="0" w:space="0" w:color="auto"/>
      </w:divBdr>
    </w:div>
    <w:div w:id="1949458490">
      <w:bodyDiv w:val="1"/>
      <w:marLeft w:val="0"/>
      <w:marRight w:val="0"/>
      <w:marTop w:val="0"/>
      <w:marBottom w:val="0"/>
      <w:divBdr>
        <w:top w:val="none" w:sz="0" w:space="0" w:color="auto"/>
        <w:left w:val="none" w:sz="0" w:space="0" w:color="auto"/>
        <w:bottom w:val="none" w:sz="0" w:space="0" w:color="auto"/>
        <w:right w:val="none" w:sz="0" w:space="0" w:color="auto"/>
      </w:divBdr>
    </w:div>
    <w:div w:id="20115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Zih19</b:Tag>
    <b:SourceType>Report</b:SourceType>
    <b:Guid>{22D5B0B7-2C39-8241-9A9A-7FA9D69EE5EA}</b:Guid>
    <b:Title>DeepLOB: Deep Convolutional Neural Networks for Limit Order Books</b:Title>
    <b:City>Oxford</b:City>
    <b:Publisher>University of Oxford</b:Publisher>
    <b:Year>2019</b:Year>
    <b:Author>
      <b:Author>
        <b:NameList>
          <b:Person>
            <b:Last>Zihao Zhang</b:Last>
            <b:First>Stefan</b:First>
            <b:Middle>Zohren, and Stephen Roberts</b:Middle>
          </b:Person>
        </b:NameList>
      </b:Author>
    </b:Author>
    <b:RefOrder>1</b:RefOrder>
  </b:Source>
  <b:Source>
    <b:Tag>SRo12</b:Tag>
    <b:SourceType>Report</b:SourceType>
    <b:Guid>{DB764A34-DD87-C242-B743-BC0BD2A4B87C}</b:Guid>
    <b:Author>
      <b:Author>
        <b:NameList>
          <b:Person>
            <b:Last>S. Roberts</b:Last>
            <b:First>M.</b:First>
            <b:Middle>Osborne , M. Ebden , S. Reece</b:Middle>
          </b:Person>
        </b:NameList>
      </b:Author>
    </b:Author>
    <b:Title>Gaussian Processes for Timeseries Modelling</b:Title>
    <b:Publisher>University of Oxford</b:Publisher>
    <b:City>Oxford</b:City>
    <b:Year>2012</b:Year>
    <b:RefOrder>2</b:RefOrder>
  </b:Source>
  <b:Source>
    <b:Tag>Bry19</b:Tag>
    <b:SourceType>Report</b:SourceType>
    <b:Guid>{62282EAF-6940-9C4E-9218-D178EBB0AF7C}</b:Guid>
    <b:Author>
      <b:Author>
        <b:NameList>
          <b:Person>
            <b:Last>Bryan Lim</b:Last>
            <b:First>Stefan</b:First>
            <b:Middle>Zohren, Stephen Roberts</b:Middle>
          </b:Person>
        </b:NameList>
      </b:Author>
    </b:Author>
    <b:Title>Enhancing Time Series Momentum Strategies Using Deep Neural Networks</b:Title>
    <b:Publisher>University of Oxford</b:Publisher>
    <b:City>Oxford</b:City>
    <b:Year>2019</b:Year>
    <b:RefOrder>3</b:RefOrder>
  </b:Source>
</b:Sources>
</file>

<file path=customXml/itemProps1.xml><?xml version="1.0" encoding="utf-8"?>
<ds:datastoreItem xmlns:ds="http://schemas.openxmlformats.org/officeDocument/2006/customXml" ds:itemID="{0CEB67DD-742B-594D-8FEE-DC8E6FB0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2019-11-24T20:10:00Z</dcterms:created>
  <dcterms:modified xsi:type="dcterms:W3CDTF">2019-11-24T21:31:00Z</dcterms:modified>
</cp:coreProperties>
</file>