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gender,(only keep iid’s)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piid,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d966"/>
          <w:rtl w:val="0"/>
        </w:rPr>
        <w:t xml:space="preserve">match,(only keep iid’s)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d966"/>
          <w:rtl w:val="0"/>
        </w:rPr>
        <w:t xml:space="preserve">like,(only keep iid’s)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d966"/>
          <w:rtl w:val="0"/>
        </w:rPr>
        <w:t xml:space="preserve">prob,(only keep iid’s)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c47d"/>
          <w:rtl w:val="0"/>
        </w:rPr>
        <w:t xml:space="preserve">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c47d"/>
          <w:rtl w:val="0"/>
        </w:rPr>
        <w:t xml:space="preserve">field_cd,(change to categorical)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race,      (change to categorical)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imprace,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imprelig,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from,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goal,       (1,2,5,6--0; 3,4---1)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date,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go out,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93c47d"/>
          <w:rtl w:val="0"/>
        </w:rPr>
        <w:t xml:space="preserve">career_c,(change to categorical)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c78d8"/>
          <w:rtl w:val="0"/>
        </w:rPr>
        <w:t xml:space="preserve">sports(*17),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attr1_1(*6),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attr2_1(*6),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attr3_1(*5),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pink :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d966"/>
          <w:rtl w:val="0"/>
        </w:rPr>
        <w:t xml:space="preserve">yellow: label for classification/ prediction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c47d"/>
          <w:rtl w:val="0"/>
        </w:rPr>
        <w:t xml:space="preserve">green: keep both / diff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3c78d8"/>
          <w:rtl w:val="0"/>
        </w:rPr>
        <w:t xml:space="preserve">blue:   keep both / inner product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black: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remove: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condtn,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age_o,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race_o,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pf_o_att,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pf_o_sin,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pf_o_fun,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pf_o_amb,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pf_o_sha,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satis_2,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numdat_2,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mn_sat,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tuition,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uni_id,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uni_pid,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int_corr,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exphappy,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