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4"/>
        </w:rPr>
        <w:t>EXPLORATORY DATA ANALYSIS (EDA) &amp; VISUALISATIONS REPORT</w:t>
      </w:r>
    </w:p>
    <w:p>
      <w:pPr>
        <w:jc w:val="center"/>
      </w:pPr>
      <w:r>
        <w:rPr>
          <w:rFonts w:ascii="Calibri" w:hAnsi="Calibri"/>
          <w:color w:val="475569"/>
          <w:sz w:val="21"/>
        </w:rPr>
        <w:t>Project No. 32: Credit Card Fraud Detection Using Anomaly Detection</w:t>
        <w:br/>
        <w:t>HCLTech Career Shaper Programme | Domain: Digital-Data-AI / AIML | Learner: Saksham</w:t>
      </w:r>
    </w:p>
    <w:p>
      <w:pPr>
        <w:pStyle w:val="Heading2"/>
      </w:pPr>
      <w:r>
        <w:t>1. Dataset Summary &amp; Statistical Overview</w:t>
      </w:r>
    </w:p>
    <w:p>
      <w:r>
        <w:rPr>
          <w:b/>
        </w:rPr>
        <w:t xml:space="preserve">• Dataset File: </w:t>
      </w:r>
      <w:r>
        <w:t>dataset.csv (5,000 Total Transactions, 8 Columns)</w:t>
        <w:br/>
      </w:r>
      <w:r>
        <w:rPr>
          <w:b/>
        </w:rPr>
        <w:t xml:space="preserve">• Class Distribution: </w:t>
      </w:r>
      <w:r>
        <w:t>4,825 Legitimate Transactions (96.50%), 175 Fraudulent Anomalies (3.50%)</w:t>
        <w:br/>
      </w:r>
      <w:r>
        <w:rPr>
          <w:b/>
        </w:rPr>
        <w:t xml:space="preserve">• Temporal Range: </w:t>
      </w:r>
      <w:r>
        <w:t>2024-01-01 00:17:00 to 2024-02-26 21:25:05</w:t>
        <w:br/>
      </w:r>
      <w:r>
        <w:rPr>
          <w:b/>
        </w:rPr>
        <w:t xml:space="preserve">• Purchase Amount: </w:t>
      </w:r>
      <w:r>
        <w:t>Min: $0.50 | Max: $4,200.00 | Median: $84.20 | Mean: $146.85</w:t>
      </w:r>
    </w:p>
    <w:p>
      <w:pPr>
        <w:pStyle w:val="Heading2"/>
      </w:pPr>
      <w:r>
        <w:t>Visualisation 1: Class Imbalance &amp; Transaction Distribution</w:t>
      </w:r>
    </w:p>
    <w:p>
      <w:r>
        <w:rPr>
          <w:rFonts w:ascii="Calibri" w:hAnsi="Calibri"/>
        </w:rPr>
        <w:t>Demonstrates the acute 96.5% vs 3.5% class imbalance, establishing the rationale for Unsupervised Anomaly Detection over naive supervised classifiers.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9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im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Visualisation 2: Transaction Amount Distributions by Class</w:t>
      </w:r>
    </w:p>
    <w:p>
      <w:r>
        <w:rPr>
          <w:rFonts w:ascii="Calibri" w:hAnsi="Calibri"/>
        </w:rPr>
        <w:t>Contrasts legitimate log-normal spending against fraud vectors: micro-testing probing (&lt;$5) and high-value unauthorized spikes ($300-$3,500).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94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moun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Visualisation 3: Diurnal Temporal Trends &amp; Night Anomaly Window</w:t>
      </w:r>
    </w:p>
    <w:p>
      <w:r>
        <w:rPr>
          <w:rFonts w:ascii="Calibri" w:hAnsi="Calibri"/>
        </w:rPr>
        <w:t>Shows diurnal spend density peaking between 12:00 and 19:00 hours, whereas fraudulent activity clusters during off-peak hours (01:00-05:00).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09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mporal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Visualisation 4: Merchant Category &amp; Card Network Breakdown</w:t>
      </w:r>
    </w:p>
    <w:p>
      <w:r>
        <w:rPr>
          <w:rFonts w:ascii="Calibri" w:hAnsi="Calibri"/>
        </w:rPr>
        <w:t>Examines transaction volumes across categories and verifies balanced distributions across Debit (35%), Credit (35%), and Prepaid (30%)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tegory_card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