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INFLATION</w:t>
      </w:r>
      <w:r>
        <w:t xml:space="preserve"> </w:t>
      </w:r>
      <w:r>
        <w:t xml:space="preserve">und</w:t>
      </w:r>
      <w:r>
        <w:t xml:space="preserve"> </w:t>
      </w:r>
      <w:r>
        <w:t xml:space="preserve">LÖHNE,</w:t>
      </w:r>
      <w:r>
        <w:t xml:space="preserve"> </w:t>
      </w:r>
      <w:r>
        <w:t xml:space="preserve">QUO</w:t>
      </w:r>
      <w:r>
        <w:t xml:space="preserve"> </w:t>
      </w:r>
      <w:r>
        <w:t xml:space="preserve">VADIS?</w:t>
      </w:r>
    </w:p>
    <w:p>
      <w:pPr>
        <w:pStyle w:val="Author"/>
      </w:pPr>
      <w:r>
        <w:t xml:space="preserve">Simon</w:t>
      </w:r>
      <w:r>
        <w:t xml:space="preserve"> </w:t>
      </w:r>
      <w:r>
        <w:t xml:space="preserve">Wey</w:t>
      </w:r>
    </w:p>
    <w:p>
      <w:pPr>
        <w:pStyle w:val="Date"/>
      </w:pPr>
      <w:r>
        <w:t xml:space="preserve">19</w:t>
      </w:r>
      <w:r>
        <w:t xml:space="preserve"> </w:t>
      </w:r>
      <w:r>
        <w:t xml:space="preserve">Oktober</w:t>
      </w:r>
      <w:r>
        <w:t xml:space="preserve"> </w:t>
      </w:r>
      <w:r>
        <w:t xml:space="preserve">2022</w:t>
      </w:r>
    </w:p>
    <w:p>
      <w:pPr>
        <w:pStyle w:val="Abstract"/>
      </w:pPr>
      <w:r>
        <w:t xml:space="preserve">null</w:t>
      </w:r>
    </w:p>
    <w:bookmarkStart w:id="20" w:name="Xd180dd5d9c2fd52ff1a14499a0d405f2c86958f"/>
    <w:p>
      <w:pPr>
        <w:pStyle w:val="Heading1"/>
      </w:pPr>
      <w:r>
        <w:t xml:space="preserve">Zusammenfassung Bewegungen Inflationsraten</w:t>
      </w:r>
    </w:p>
    <w:p>
      <w:pPr>
        <w:pStyle w:val="TableCaption"/>
      </w:pPr>
      <w:r>
        <w:t xml:space="preserve">Inflationsraten der Nachbarländer und der beiden Wirtschaftsräume EU-27 und USA. Quelle: OECD</w:t>
      </w:r>
    </w:p>
    <w:tbl>
      <w:tblPr>
        <w:tblStyle w:val="Table"/>
        <w:tblW w:type="auto" w:w="0"/>
        <w:tblLook w:firstRow="1" w:lastRow="0" w:firstColumn="0" w:lastColumn="0" w:noHBand="0" w:noVBand="0" w:val="0020"/>
        <w:tblCaption w:val="Inflationsraten der Nachbarländer und der beiden Wirtschaftsräume EU-27 und USA. Quelle: OECD"/>
      </w:tblPr>
      <w:tblGrid>
        <w:gridCol w:w="1980"/>
        <w:gridCol w:w="1980"/>
        <w:gridCol w:w="1980"/>
        <w:gridCol w:w="1980"/>
      </w:tblGrid>
      <w:tr>
        <w:trPr>
          <w:tblHeader w:val="true"/>
        </w:trPr>
        <w:tc>
          <w:tcPr/>
          <w:p>
            <w:pPr>
              <w:pStyle w:val="Compact"/>
              <w:jc w:val="left"/>
            </w:pPr>
            <w:r>
              <w:rPr>
                <w:bCs/>
                <w:b/>
              </w:rPr>
              <w:t xml:space="preserve">Land</w:t>
            </w:r>
          </w:p>
        </w:tc>
        <w:tc>
          <w:tcPr/>
          <w:p>
            <w:pPr>
              <w:pStyle w:val="Compact"/>
              <w:jc w:val="left"/>
            </w:pPr>
            <w:r>
              <w:rPr>
                <w:bCs/>
                <w:b/>
              </w:rPr>
              <w:t xml:space="preserve">aktuellster Wert</w:t>
            </w:r>
          </w:p>
        </w:tc>
        <w:tc>
          <w:tcPr/>
          <w:p>
            <w:pPr>
              <w:pStyle w:val="Compact"/>
              <w:jc w:val="left"/>
            </w:pPr>
            <m:oMath>
              <m:r>
                <m:t>Δ</m:t>
              </m:r>
            </m:oMath>
            <w:r>
              <w:rPr>
                <w:bCs/>
                <w:b/>
              </w:rPr>
              <w:t xml:space="preserve"> </w:t>
            </w:r>
            <w:r>
              <w:rPr>
                <w:bCs/>
                <w:b/>
              </w:rPr>
              <w:t xml:space="preserve">Vormonat</w:t>
            </w:r>
          </w:p>
        </w:tc>
        <w:tc>
          <w:tcPr/>
          <w:p>
            <w:pPr>
              <w:pStyle w:val="Compact"/>
              <w:jc w:val="left"/>
            </w:pPr>
            <w:r>
              <w:rPr>
                <w:bCs/>
                <w:b/>
              </w:rPr>
              <w:t xml:space="preserve">steigend/sinkend</w:t>
            </w:r>
          </w:p>
        </w:tc>
      </w:tr>
      <w:tr>
        <w:tc>
          <w:tcPr/>
          <w:p>
            <w:pPr>
              <w:pStyle w:val="Compact"/>
              <w:jc w:val="left"/>
            </w:pPr>
            <w:r>
              <w:rPr>
                <w:bCs/>
                <w:b/>
              </w:rPr>
              <w:t xml:space="preserve">Schweiz</w:t>
            </w:r>
          </w:p>
        </w:tc>
        <w:tc>
          <w:tcPr/>
          <w:p>
            <w:pPr>
              <w:pStyle w:val="Compact"/>
              <w:jc w:val="left"/>
            </w:pPr>
            <w:r>
              <w:t xml:space="preserve">Sep: 3.3</w:t>
            </w:r>
          </w:p>
        </w:tc>
        <w:tc>
          <w:tcPr/>
          <w:p>
            <w:pPr>
              <w:pStyle w:val="Compact"/>
              <w:jc w:val="left"/>
            </w:pPr>
            <w:r>
              <w:t xml:space="preserve">-0.2</w:t>
            </w:r>
          </w:p>
        </w:tc>
        <w:tc>
          <w:tcPr/>
          <w:p>
            <w:pPr>
              <w:pStyle w:val="Compact"/>
              <w:jc w:val="left"/>
            </w:pPr>
            <m:oMath>
              <m:r>
                <m:rPr>
                  <m:sty m:val="p"/>
                </m:rPr>
                <m:t>↓</m:t>
              </m:r>
            </m:oMath>
          </w:p>
        </w:tc>
      </w:tr>
      <w:tr>
        <w:tc>
          <w:tcPr/>
          <w:p>
            <w:pPr>
              <w:pStyle w:val="Compact"/>
              <w:jc w:val="left"/>
            </w:pPr>
            <w:r>
              <w:rPr>
                <w:bCs/>
                <w:b/>
              </w:rPr>
              <w:t xml:space="preserve">Deutschland</w:t>
            </w:r>
          </w:p>
        </w:tc>
        <w:tc>
          <w:tcPr/>
          <w:p>
            <w:pPr>
              <w:pStyle w:val="Compact"/>
              <w:jc w:val="left"/>
            </w:pPr>
            <w:r>
              <w:t xml:space="preserve">Sep: 10</w:t>
            </w:r>
          </w:p>
        </w:tc>
        <w:tc>
          <w:tcPr/>
          <w:p>
            <w:pPr>
              <w:pStyle w:val="Compact"/>
              <w:jc w:val="left"/>
            </w:pPr>
            <w:r>
              <w:t xml:space="preserve">+2.1</w:t>
            </w:r>
          </w:p>
        </w:tc>
        <w:tc>
          <w:tcPr/>
          <w:p>
            <w:pPr>
              <w:pStyle w:val="Compact"/>
              <w:jc w:val="left"/>
            </w:pPr>
            <m:oMath>
              <m:r>
                <m:rPr>
                  <m:sty m:val="p"/>
                </m:rPr>
                <m:t>↑</m:t>
              </m:r>
            </m:oMath>
          </w:p>
        </w:tc>
      </w:tr>
      <w:tr>
        <w:tc>
          <w:tcPr/>
          <w:p>
            <w:pPr>
              <w:pStyle w:val="Compact"/>
              <w:jc w:val="left"/>
            </w:pPr>
            <w:r>
              <w:rPr>
                <w:bCs/>
                <w:b/>
              </w:rPr>
              <w:t xml:space="preserve">Italien</w:t>
            </w:r>
          </w:p>
        </w:tc>
        <w:tc>
          <w:tcPr/>
          <w:p>
            <w:pPr>
              <w:pStyle w:val="Compact"/>
              <w:jc w:val="left"/>
            </w:pPr>
            <w:r>
              <w:t xml:space="preserve">Sep: 8.9</w:t>
            </w:r>
          </w:p>
        </w:tc>
        <w:tc>
          <w:tcPr/>
          <w:p>
            <w:pPr>
              <w:pStyle w:val="Compact"/>
              <w:jc w:val="left"/>
            </w:pPr>
            <w:r>
              <w:t xml:space="preserve">+0.5</w:t>
            </w:r>
          </w:p>
        </w:tc>
        <w:tc>
          <w:tcPr/>
          <w:p>
            <w:pPr>
              <w:pStyle w:val="Compact"/>
              <w:jc w:val="left"/>
            </w:pPr>
            <m:oMath>
              <m:r>
                <m:rPr>
                  <m:sty m:val="p"/>
                </m:rPr>
                <m:t>↑</m:t>
              </m:r>
            </m:oMath>
          </w:p>
        </w:tc>
      </w:tr>
      <w:tr>
        <w:tc>
          <w:tcPr/>
          <w:p>
            <w:pPr>
              <w:pStyle w:val="Compact"/>
              <w:jc w:val="left"/>
            </w:pPr>
            <w:r>
              <w:rPr>
                <w:bCs/>
                <w:b/>
              </w:rPr>
              <w:t xml:space="preserve">Frankreich</w:t>
            </w:r>
          </w:p>
        </w:tc>
        <w:tc>
          <w:tcPr/>
          <w:p>
            <w:pPr>
              <w:pStyle w:val="Compact"/>
              <w:jc w:val="left"/>
            </w:pPr>
            <w:r>
              <w:t xml:space="preserve">Sep: 5.6</w:t>
            </w:r>
          </w:p>
        </w:tc>
        <w:tc>
          <w:tcPr/>
          <w:p>
            <w:pPr>
              <w:pStyle w:val="Compact"/>
              <w:jc w:val="left"/>
            </w:pPr>
            <w:r>
              <w:t xml:space="preserve">-0.4</w:t>
            </w:r>
          </w:p>
        </w:tc>
        <w:tc>
          <w:tcPr/>
          <w:p>
            <w:pPr>
              <w:pStyle w:val="Compact"/>
              <w:jc w:val="left"/>
            </w:pPr>
            <m:oMath>
              <m:r>
                <m:rPr>
                  <m:sty m:val="p"/>
                </m:rPr>
                <m:t>↓</m:t>
              </m:r>
            </m:oMath>
          </w:p>
        </w:tc>
      </w:tr>
      <w:tr>
        <w:tc>
          <w:tcPr/>
          <w:p>
            <w:pPr>
              <w:pStyle w:val="Compact"/>
              <w:jc w:val="left"/>
            </w:pPr>
            <w:r>
              <w:rPr>
                <w:bCs/>
                <w:b/>
              </w:rPr>
              <w:t xml:space="preserve">Österreich</w:t>
            </w:r>
          </w:p>
        </w:tc>
        <w:tc>
          <w:tcPr/>
          <w:p>
            <w:pPr>
              <w:pStyle w:val="Compact"/>
              <w:jc w:val="left"/>
            </w:pPr>
            <w:r>
              <w:t xml:space="preserve">Aug: 9.3</w:t>
            </w:r>
          </w:p>
        </w:tc>
        <w:tc>
          <w:tcPr/>
          <w:p>
            <w:pPr>
              <w:pStyle w:val="Compact"/>
              <w:jc w:val="left"/>
            </w:pPr>
            <w:r>
              <w:t xml:space="preserve">-0.1</w:t>
            </w:r>
          </w:p>
        </w:tc>
        <w:tc>
          <w:tcPr/>
          <w:p>
            <w:pPr>
              <w:pStyle w:val="Compact"/>
              <w:jc w:val="left"/>
            </w:pPr>
            <m:oMath>
              <m:r>
                <m:rPr>
                  <m:sty m:val="p"/>
                </m:rPr>
                <m:t>↓</m:t>
              </m:r>
            </m:oMath>
          </w:p>
        </w:tc>
      </w:tr>
      <w:tr>
        <w:tc>
          <w:tcPr/>
          <w:p>
            <w:pPr>
              <w:pStyle w:val="Compact"/>
              <w:jc w:val="left"/>
            </w:pPr>
            <w:r>
              <w:rPr>
                <w:bCs/>
                <w:b/>
              </w:rPr>
              <w:t xml:space="preserve">EU-27</w:t>
            </w:r>
          </w:p>
        </w:tc>
        <w:tc>
          <w:tcPr/>
          <w:p>
            <w:pPr>
              <w:pStyle w:val="Compact"/>
              <w:jc w:val="left"/>
            </w:pPr>
            <w:r>
              <w:t xml:space="preserve">Aug: 10.1</w:t>
            </w:r>
          </w:p>
        </w:tc>
        <w:tc>
          <w:tcPr/>
          <w:p>
            <w:pPr>
              <w:pStyle w:val="Compact"/>
              <w:jc w:val="left"/>
            </w:pPr>
            <w:r>
              <w:t xml:space="preserve">+0.3</w:t>
            </w:r>
          </w:p>
        </w:tc>
        <w:tc>
          <w:tcPr/>
          <w:p>
            <w:pPr>
              <w:pStyle w:val="Compact"/>
              <w:jc w:val="left"/>
            </w:pPr>
            <m:oMath>
              <m:r>
                <m:rPr>
                  <m:sty m:val="p"/>
                </m:rPr>
                <m:t>↑</m:t>
              </m:r>
            </m:oMath>
          </w:p>
        </w:tc>
      </w:tr>
      <w:tr>
        <w:tc>
          <w:tcPr/>
          <w:p>
            <w:pPr>
              <w:pStyle w:val="Compact"/>
              <w:jc w:val="left"/>
            </w:pPr>
            <w:r>
              <w:rPr>
                <w:bCs/>
                <w:b/>
              </w:rPr>
              <w:t xml:space="preserve">USA</w:t>
            </w:r>
          </w:p>
        </w:tc>
        <w:tc>
          <w:tcPr/>
          <w:p>
            <w:pPr>
              <w:pStyle w:val="Compact"/>
              <w:jc w:val="left"/>
            </w:pPr>
            <w:r>
              <w:t xml:space="preserve">Sep: 8.2</w:t>
            </w:r>
          </w:p>
        </w:tc>
        <w:tc>
          <w:tcPr/>
          <w:p>
            <w:pPr>
              <w:pStyle w:val="Compact"/>
              <w:jc w:val="left"/>
            </w:pPr>
            <w:r>
              <w:t xml:space="preserve">-0.1</w:t>
            </w:r>
          </w:p>
        </w:tc>
        <w:tc>
          <w:tcPr/>
          <w:p>
            <w:pPr>
              <w:pStyle w:val="Compact"/>
              <w:jc w:val="left"/>
            </w:pPr>
            <m:oMath>
              <m:r>
                <m:rPr>
                  <m:sty m:val="p"/>
                </m:rPr>
                <m:t>↓</m:t>
              </m:r>
            </m:oMath>
          </w:p>
        </w:tc>
      </w:tr>
    </w:tbl>
    <w:bookmarkEnd w:id="20"/>
    <w:bookmarkStart w:id="21" w:name="einschätzung"/>
    <w:p>
      <w:pPr>
        <w:pStyle w:val="Heading1"/>
      </w:pPr>
      <w:r>
        <w:t xml:space="preserve">Einschätzung</w:t>
      </w:r>
    </w:p>
    <w:p>
      <w:pPr>
        <w:pStyle w:val="FirstParagraph"/>
      </w:pPr>
      <w:r>
        <w:t xml:space="preserve">Zu hohe Teuerungsraten sind ökonomisch schädlich und können zu sozialen und politischen Verwerfungen führen. Im Mai 2022 lagen raten in den USA bei 8.6 Prozent, in Deutschland bei 7.9 Prozent und in der EU-27 bei 8.8 Prozent. Dagegen war rate in der Schweiz mit 2.9 Prozent (vgl. Abbildung</w:t>
      </w:r>
      <w:r>
        <w:t xml:space="preserve"> </w:t>
      </w:r>
      <w:r>
        <w:t xml:space="preserve">) vergleichsweise moderat. Sie lag jedoch auch hierzulande über dem oberen Rand des Zielbandes der Schweizerischen Nationalbank (SNB). Am 16. Juni intervenierte die SNB mit einem überraschend hohen Zinsschritt von 0.5 Punkten zur Bekämpfung der Teuerung.</w:t>
      </w:r>
    </w:p>
    <w:p>
      <w:pPr>
        <w:pStyle w:val="BodyText"/>
      </w:pPr>
      <w:r>
        <w:t xml:space="preserve">Im September wurde die #Trendwende der #Inflation in der Schweiz ist fürs Erste erreicht. Dies im Unterschied zu vielen anderen europäischen #Ländern. So lag die die Inflation im September etwa in #Deutschland bei 10 Prozent, ein Wert so hoch wie seit 70 Jahren nicht mehr.</w:t>
      </w:r>
    </w:p>
    <w:p>
      <w:pPr>
        <w:pStyle w:val="BodyText"/>
      </w:pPr>
      <w:r>
        <w:t xml:space="preserve">Zur rückläufigen #Inflation trug die SNB mit ihrer strafferen #Geldpolitik einen wesentlichen Teil bei. Noch ist es jedoch zu früh, um Entwarnung zu geben. Nach wie vor besteht die Gefahr, dass die #Inflation in den kommenden Monaten wieder ansteigt. Unabhängig davon zeigt sich, dass die vergleichsweise tiefe #Inflation für die Schweiz ein zentraler #Standortvorteil ist.</w:t>
      </w:r>
    </w:p>
    <w:bookmarkEnd w:id="21"/>
    <w:bookmarkStart w:id="22" w:name="literatur"/>
    <w:p>
      <w:pPr>
        <w:pStyle w:val="Heading1"/>
      </w:pPr>
      <w:r>
        <w:t xml:space="preserve">Literatur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INFLATION und LÖHNE, QUO VADIS?</dc:title>
  <dc:creator>Simon Wey</dc:creator>
  <cp:keywords/>
  <dcterms:created xsi:type="dcterms:W3CDTF">2022-10-19T14:52:42Z</dcterms:created>
  <dcterms:modified xsi:type="dcterms:W3CDTF">2022-10-19T14:52:42Z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null</vt:lpwstr>
  </property>
  <property fmtid="{D5CDD505-2E9C-101B-9397-08002B2CF9AE}" pid="3" name="bibliography">
    <vt:lpwstr>reference.bib</vt:lpwstr>
  </property>
  <property fmtid="{D5CDD505-2E9C-101B-9397-08002B2CF9AE}" pid="4" name="csl">
    <vt:lpwstr>elsevier-harvard.csl</vt:lpwstr>
  </property>
  <property fmtid="{D5CDD505-2E9C-101B-9397-08002B2CF9AE}" pid="5" name="date">
    <vt:lpwstr>19 Oktober 2022</vt:lpwstr>
  </property>
  <property fmtid="{D5CDD505-2E9C-101B-9397-08002B2CF9AE}" pid="6" name="header-includes">
    <vt:lpwstr/>
  </property>
  <property fmtid="{D5CDD505-2E9C-101B-9397-08002B2CF9AE}" pid="7" name="includes">
    <vt:lpwstr/>
  </property>
  <property fmtid="{D5CDD505-2E9C-101B-9397-08002B2CF9AE}" pid="8" name="output">
    <vt:lpwstr/>
  </property>
  <property fmtid="{D5CDD505-2E9C-101B-9397-08002B2CF9AE}" pid="9" name="tags">
    <vt:lpwstr/>
  </property>
</Properties>
</file>