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B91CC">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E54C5E" w:themeColor="accent6"/>
          <w:spacing w:val="-6"/>
          <w:w w:val="80"/>
          <w:kern w:val="10"/>
          <w:sz w:val="13"/>
          <w:szCs w:val="13"/>
          <w:highlight w:val="none"/>
          <w:shd w:val="clear" w:color="auto" w:fill="auto"/>
          <w14:textFill>
            <w14:solidFill>
              <w14:schemeClr w14:val="accent6"/>
            </w14:solidFill>
          </w14:textFill>
        </w:rPr>
        <w:t>船舶应变部署表包括哪些内容</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1船舶及公司名称、船舶识别号2应变种类及信号特征、职务与编号、姓名、艇筏号的对照一览表</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3</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航行中驾驶台机舱固定人员和任务</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4</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消防、弃船求生、准备和释放救生艇筏的详细分工和执行人员</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5</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救生消防设备的位置</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6</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船长姓名和公布日期.</w:t>
      </w:r>
    </w:p>
    <w:p w14:paraId="53225DC7">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ind w:left="0" w:leftChars="0" w:firstLine="0" w:firstLineChars="0"/>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cstheme="minorEastAsia"/>
          <w:b w:val="0"/>
          <w:bCs w:val="0"/>
          <w:color w:val="E54C5E" w:themeColor="accent6"/>
          <w:spacing w:val="-6"/>
          <w:w w:val="80"/>
          <w:kern w:val="10"/>
          <w:sz w:val="13"/>
          <w:szCs w:val="13"/>
          <w:highlight w:val="none"/>
          <w:shd w:val="clear" w:color="auto" w:fill="auto"/>
          <w:lang w:val="en-US" w:eastAsia="zh-CN"/>
          <w14:textFill>
            <w14:solidFill>
              <w14:schemeClr w14:val="accent6"/>
            </w14:solidFill>
          </w14:textFill>
        </w:rPr>
        <w:t>法定检验、船级检验的区别:</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(1)</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法定检验是强制性的，是依据国家法规和国际公约要求实施的监督检验。船级检验是自愿的，船东向船级社申请的检验</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(2)</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法定检验重点关注船舶安全和环保的基本要求，确保船舶满足对人命安全、财产安全和防止水域污染的最低法定标准。船级检验侧重于从船舶的技术状况、建造质量等方面进行评估，为船舶提供一个技术等级，增强船舶在航运市场上的商业信誉。</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(3)</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法定检验主要依据国家相关法律、法规和国际海事公约</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船级检验主要依据船级社自己的规范和标准</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p>
    <w:p w14:paraId="5A920183">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r>
        <w:rPr>
          <w:rFonts w:hint="eastAsia"/>
          <w:b w:val="0"/>
          <w:bCs w:val="0"/>
          <w:color w:val="E54C5E" w:themeColor="accent6"/>
          <w:spacing w:val="-6"/>
          <w:w w:val="80"/>
          <w:kern w:val="10"/>
          <w:sz w:val="13"/>
          <w:szCs w:val="13"/>
          <w14:textFill>
            <w14:solidFill>
              <w14:schemeClr w14:val="accent6"/>
            </w14:solidFill>
          </w14:textFill>
        </w:rPr>
        <w:t>船舶安全检查的分类：</w:t>
      </w:r>
      <w:r>
        <w:rPr>
          <w:rFonts w:hint="eastAsia"/>
          <w:b/>
          <w:bCs/>
          <w:spacing w:val="-6"/>
          <w:w w:val="80"/>
          <w:kern w:val="10"/>
          <w:sz w:val="13"/>
          <w:szCs w:val="13"/>
        </w:rPr>
        <w:t>港口国检查</w:t>
      </w:r>
      <w:r>
        <w:rPr>
          <w:rFonts w:hint="eastAsia"/>
          <w:b w:val="0"/>
          <w:bCs w:val="0"/>
          <w:color w:val="E54C5E" w:themeColor="accent6"/>
          <w:spacing w:val="-6"/>
          <w:w w:val="80"/>
          <w:kern w:val="10"/>
          <w:sz w:val="13"/>
          <w:szCs w:val="13"/>
          <w14:textFill>
            <w14:solidFill>
              <w14:schemeClr w14:val="accent6"/>
            </w14:solidFill>
          </w14:textFill>
        </w:rPr>
        <w:t>（PSC）</w:t>
      </w:r>
      <w:r>
        <w:rPr>
          <w:rFonts w:hint="eastAsia"/>
          <w:b w:val="0"/>
          <w:bCs w:val="0"/>
          <w:spacing w:val="-6"/>
          <w:w w:val="80"/>
          <w:kern w:val="10"/>
          <w:sz w:val="13"/>
          <w:szCs w:val="13"/>
        </w:rPr>
        <w:t>：港口国当局对抵港的外国籍船舶实施的以确保船舶和人员安全、防止海洋污染为目的，以船员及船舶技术状况为对象的监督检查。</w:t>
      </w:r>
      <w:r>
        <w:rPr>
          <w:rFonts w:hint="eastAsia"/>
          <w:b/>
          <w:bCs/>
          <w:spacing w:val="-6"/>
          <w:w w:val="80"/>
          <w:kern w:val="10"/>
          <w:sz w:val="13"/>
          <w:szCs w:val="13"/>
        </w:rPr>
        <w:t>船旗国检查</w:t>
      </w:r>
      <w:r>
        <w:rPr>
          <w:rFonts w:hint="eastAsia"/>
          <w:b w:val="0"/>
          <w:bCs w:val="0"/>
          <w:color w:val="E54C5E" w:themeColor="accent6"/>
          <w:spacing w:val="-6"/>
          <w:w w:val="80"/>
          <w:kern w:val="10"/>
          <w:sz w:val="13"/>
          <w:szCs w:val="13"/>
          <w14:textFill>
            <w14:solidFill>
              <w14:schemeClr w14:val="accent6"/>
            </w14:solidFill>
          </w14:textFill>
        </w:rPr>
        <w:t>（FSC）</w:t>
      </w:r>
      <w:r>
        <w:rPr>
          <w:rFonts w:hint="eastAsia"/>
          <w:b w:val="0"/>
          <w:bCs w:val="0"/>
          <w:spacing w:val="-6"/>
          <w:w w:val="80"/>
          <w:kern w:val="10"/>
          <w:sz w:val="13"/>
          <w:szCs w:val="13"/>
        </w:rPr>
        <w:t>：由船旗国主管机关或其授权的机构对本国船舶进行的检查。</w:t>
      </w:r>
      <w:r>
        <w:rPr>
          <w:rFonts w:hint="eastAsia"/>
          <w:b/>
          <w:bCs/>
          <w:spacing w:val="-6"/>
          <w:w w:val="80"/>
          <w:kern w:val="10"/>
          <w:sz w:val="13"/>
          <w:szCs w:val="13"/>
        </w:rPr>
        <w:t>开航前检查</w:t>
      </w:r>
      <w:r>
        <w:rPr>
          <w:rFonts w:hint="eastAsia"/>
          <w:b w:val="0"/>
          <w:bCs w:val="0"/>
          <w:spacing w:val="-6"/>
          <w:w w:val="80"/>
          <w:kern w:val="10"/>
          <w:sz w:val="13"/>
          <w:szCs w:val="13"/>
        </w:rPr>
        <w:t>：在船舶离港前，对船舶的适航性、船员配备、货物装载等情况进行的检查。</w:t>
      </w:r>
      <w:r>
        <w:rPr>
          <w:rFonts w:hint="eastAsia"/>
          <w:b/>
          <w:bCs/>
          <w:spacing w:val="-6"/>
          <w:w w:val="80"/>
          <w:kern w:val="10"/>
          <w:sz w:val="13"/>
          <w:szCs w:val="13"/>
        </w:rPr>
        <w:t>定期检查</w:t>
      </w:r>
      <w:r>
        <w:rPr>
          <w:rFonts w:hint="eastAsia"/>
          <w:b w:val="0"/>
          <w:bCs w:val="0"/>
          <w:spacing w:val="-6"/>
          <w:w w:val="80"/>
          <w:kern w:val="10"/>
          <w:sz w:val="13"/>
          <w:szCs w:val="13"/>
        </w:rPr>
        <w:t>：按照一定的时间间隔对船舶进行的全面检查。</w:t>
      </w:r>
      <w:r>
        <w:rPr>
          <w:rFonts w:hint="eastAsia"/>
          <w:b/>
          <w:bCs/>
          <w:spacing w:val="-6"/>
          <w:w w:val="80"/>
          <w:kern w:val="10"/>
          <w:sz w:val="13"/>
          <w:szCs w:val="13"/>
        </w:rPr>
        <w:t>附加检查</w:t>
      </w:r>
      <w:r>
        <w:rPr>
          <w:rFonts w:hint="eastAsia"/>
          <w:b w:val="0"/>
          <w:bCs w:val="0"/>
          <w:spacing w:val="-6"/>
          <w:w w:val="80"/>
          <w:kern w:val="10"/>
          <w:sz w:val="13"/>
          <w:szCs w:val="13"/>
        </w:rPr>
        <w:t>：当船舶发生重大事故、存在重大安全隐患或船旗国、港口国当局有特殊要求时进行的检查。</w:t>
      </w:r>
    </w:p>
    <w:p w14:paraId="061C1C0A">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default" w:cstheme="minorBidi"/>
          <w:b w:val="0"/>
          <w:bCs w:val="0"/>
          <w:spacing w:val="-6"/>
          <w:w w:val="80"/>
          <w:kern w:val="10"/>
          <w:sz w:val="13"/>
          <w:szCs w:val="13"/>
          <w:lang w:val="en-US" w:eastAsia="zh-CN" w:bidi="ar-SA"/>
        </w:rPr>
      </w:pPr>
    </w:p>
    <w:p w14:paraId="0CCECEF7">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default" w:cstheme="minorBidi"/>
          <w:b w:val="0"/>
          <w:bCs w:val="0"/>
          <w:spacing w:val="-6"/>
          <w:w w:val="80"/>
          <w:kern w:val="10"/>
          <w:sz w:val="13"/>
          <w:szCs w:val="13"/>
          <w:lang w:val="en-US" w:eastAsia="zh-CN" w:bidi="ar-SA"/>
        </w:rPr>
      </w:pPr>
    </w:p>
    <w:p w14:paraId="66A2504D">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default" w:cstheme="minorBidi"/>
          <w:b w:val="0"/>
          <w:bCs w:val="0"/>
          <w:spacing w:val="-6"/>
          <w:w w:val="80"/>
          <w:kern w:val="10"/>
          <w:sz w:val="13"/>
          <w:szCs w:val="13"/>
          <w:lang w:val="en-US" w:eastAsia="zh-CN" w:bidi="ar-SA"/>
        </w:rPr>
      </w:pPr>
    </w:p>
    <w:p w14:paraId="59D93E41">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eastAsiaTheme="minorEastAsia"/>
          <w:b w:val="0"/>
          <w:bCs w:val="0"/>
          <w:spacing w:val="-6"/>
          <w:w w:val="80"/>
          <w:kern w:val="10"/>
          <w:sz w:val="13"/>
          <w:szCs w:val="13"/>
          <w:lang w:val="en-US" w:eastAsia="zh-CN"/>
        </w:rPr>
      </w:pPr>
      <w:r>
        <w:rPr>
          <w:rFonts w:hint="default" w:cstheme="minorBidi"/>
          <w:b w:val="0"/>
          <w:bCs w:val="0"/>
          <w:color w:val="E54C5E" w:themeColor="accent6"/>
          <w:spacing w:val="-6"/>
          <w:w w:val="80"/>
          <w:kern w:val="10"/>
          <w:sz w:val="13"/>
          <w:szCs w:val="13"/>
          <w:lang w:val="en-US" w:eastAsia="zh-CN" w:bidi="ar-SA"/>
          <w14:textFill>
            <w14:solidFill>
              <w14:schemeClr w14:val="accent6"/>
            </w14:solidFill>
          </w14:textFill>
        </w:rPr>
        <w:t>PSC</w:t>
      </w:r>
      <w:r>
        <w:rPr>
          <w:rFonts w:hint="eastAsia" w:cstheme="minorBidi"/>
          <w:b w:val="0"/>
          <w:bCs w:val="0"/>
          <w:color w:val="E54C5E" w:themeColor="accent6"/>
          <w:spacing w:val="-6"/>
          <w:w w:val="80"/>
          <w:kern w:val="10"/>
          <w:sz w:val="13"/>
          <w:szCs w:val="13"/>
          <w:lang w:val="en-US" w:eastAsia="zh-CN" w:bidi="ar-SA"/>
          <w14:textFill>
            <w14:solidFill>
              <w14:schemeClr w14:val="accent6"/>
            </w14:solidFill>
          </w14:textFill>
        </w:rPr>
        <w:t>检查的依据：</w:t>
      </w:r>
      <w:r>
        <w:rPr>
          <w:rFonts w:hint="eastAsia"/>
          <w:b w:val="0"/>
          <w:bCs w:val="0"/>
          <w:spacing w:val="-6"/>
          <w:w w:val="80"/>
          <w:kern w:val="10"/>
          <w:sz w:val="13"/>
          <w:szCs w:val="13"/>
        </w:rPr>
        <w:t>《SOLAS》它确保船舶的构造、设备和操作符合安全标准，像船舶的消防、救生设备的配备与维护要求；《MARPOL》用于防止和控制船舶污染海洋环境，包括对船舶油类、化学品等污染物的排放监管。还有相关的船旗国法规，船舶所属国家的一些特殊规定，港口国当地的法律法规</w:t>
      </w:r>
      <w:r>
        <w:rPr>
          <w:rFonts w:hint="eastAsia"/>
          <w:b w:val="0"/>
          <w:bCs w:val="0"/>
          <w:spacing w:val="-6"/>
          <w:w w:val="80"/>
          <w:kern w:val="10"/>
          <w:sz w:val="13"/>
          <w:szCs w:val="13"/>
          <w:lang w:val="en-US" w:eastAsia="zh-CN"/>
        </w:rPr>
        <w:t>等</w:t>
      </w:r>
    </w:p>
    <w:p w14:paraId="6D42DFF9">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pPr>
      <w:r>
        <w:rPr>
          <w:rFonts w:hint="eastAsia" w:asciiTheme="minorEastAsia" w:hAnsiTheme="minorEastAsia" w:eastAsiaTheme="minorEastAsia" w:cstheme="minorEastAsia"/>
          <w:b w:val="0"/>
          <w:bCs w:val="0"/>
          <w:color w:val="FF0000"/>
          <w:spacing w:val="-6"/>
          <w:w w:val="80"/>
          <w:kern w:val="10"/>
          <w:sz w:val="13"/>
          <w:szCs w:val="13"/>
          <w:highlight w:val="none"/>
          <w:shd w:val="clear" w:color="auto" w:fill="auto"/>
        </w:rPr>
        <w:t>船</w:t>
      </w:r>
      <w:r>
        <w:rPr>
          <w:rFonts w:hint="eastAsia" w:asciiTheme="minorEastAsia" w:hAnsiTheme="minorEastAsia" w:eastAsiaTheme="minorEastAsia" w:cstheme="minorEastAsia"/>
          <w:b/>
          <w:bCs/>
          <w:color w:val="000000" w:themeColor="text1"/>
          <w:spacing w:val="-6"/>
          <w:w w:val="80"/>
          <w:kern w:val="10"/>
          <w:sz w:val="13"/>
          <w:szCs w:val="13"/>
          <w:highlight w:val="none"/>
          <w:u w:val="single"/>
          <w:shd w:val="clear" w:color="auto" w:fill="auto"/>
          <w14:textFill>
            <w14:solidFill>
              <w14:schemeClr w14:val="tx1"/>
            </w14:solidFill>
          </w14:textFill>
        </w:rPr>
        <w:t>级</w:t>
      </w:r>
      <w:r>
        <w:rPr>
          <w:rFonts w:hint="eastAsia" w:asciiTheme="minorEastAsia" w:hAnsiTheme="minorEastAsia" w:eastAsiaTheme="minorEastAsia" w:cstheme="minorEastAsia"/>
          <w:b w:val="0"/>
          <w:bCs w:val="0"/>
          <w:color w:val="FF0000"/>
          <w:spacing w:val="-6"/>
          <w:w w:val="80"/>
          <w:kern w:val="10"/>
          <w:sz w:val="13"/>
          <w:szCs w:val="13"/>
          <w:highlight w:val="none"/>
          <w:shd w:val="clear" w:color="auto" w:fill="auto"/>
        </w:rPr>
        <w:t>检验的种</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类</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初次入级</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检验,</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年度</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中间</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船底外部及有关项目的</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特别</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螺旋桨轴</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搁置</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临时</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循环</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cstheme="minorEastAsia"/>
          <w:b w:val="0"/>
          <w:bCs w:val="0"/>
          <w:color w:val="FF0000"/>
          <w:spacing w:val="-6"/>
          <w:w w:val="80"/>
          <w:kern w:val="10"/>
          <w:sz w:val="13"/>
          <w:szCs w:val="13"/>
          <w:highlight w:val="none"/>
          <w:shd w:val="clear" w:color="auto" w:fill="auto"/>
          <w:lang w:val="en-US" w:eastAsia="zh-CN"/>
        </w:rPr>
        <w:t>船</w:t>
      </w:r>
      <w:r>
        <w:rPr>
          <w:rFonts w:hint="eastAsia" w:asciiTheme="minorEastAsia" w:hAnsiTheme="minorEastAsia" w:cstheme="minorEastAsia"/>
          <w:b/>
          <w:bCs/>
          <w:color w:val="auto"/>
          <w:spacing w:val="-6"/>
          <w:w w:val="80"/>
          <w:kern w:val="10"/>
          <w:sz w:val="13"/>
          <w:szCs w:val="13"/>
          <w:highlight w:val="none"/>
          <w:u w:val="single"/>
          <w:shd w:val="clear" w:color="auto" w:fill="auto"/>
          <w:lang w:val="en-US" w:eastAsia="zh-CN"/>
        </w:rPr>
        <w:t>舶</w:t>
      </w:r>
      <w:r>
        <w:rPr>
          <w:rFonts w:hint="eastAsia" w:asciiTheme="minorEastAsia" w:hAnsiTheme="minorEastAsia" w:eastAsiaTheme="minorEastAsia" w:cstheme="minorEastAsia"/>
          <w:b w:val="0"/>
          <w:bCs w:val="0"/>
          <w:color w:val="FF0000"/>
          <w:spacing w:val="-6"/>
          <w:w w:val="80"/>
          <w:kern w:val="10"/>
          <w:sz w:val="13"/>
          <w:szCs w:val="13"/>
          <w:highlight w:val="none"/>
          <w:shd w:val="clear" w:color="auto" w:fill="auto"/>
          <w:lang w:val="en-US" w:eastAsia="zh-CN" w:bidi="ar-SA"/>
        </w:rPr>
        <w:t>检验的种类</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：法定~，船级~，公正~;</w:t>
      </w:r>
    </w:p>
    <w:p w14:paraId="4CD811F2">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r>
        <w:rPr>
          <w:rFonts w:hint="eastAsia" w:asciiTheme="minorEastAsia" w:hAnsiTheme="minorEastAsia" w:eastAsiaTheme="minorEastAsia" w:cstheme="minorEastAsia"/>
          <w:b w:val="0"/>
          <w:bCs w:val="0"/>
          <w:color w:val="E54C5E" w:themeColor="accent6"/>
          <w:spacing w:val="-6"/>
          <w:w w:val="80"/>
          <w:kern w:val="10"/>
          <w:sz w:val="13"/>
          <w:szCs w:val="13"/>
          <w:highlight w:val="none"/>
          <w:shd w:val="clear" w:color="auto" w:fill="auto"/>
          <w:lang w:val="en-US" w:eastAsia="zh-CN" w:bidi="ar-SA"/>
          <w14:textFill>
            <w14:solidFill>
              <w14:schemeClr w14:val="accent6"/>
            </w14:solidFill>
          </w14:textFill>
        </w:rPr>
        <w:t>船级检验和法定检验</w:t>
      </w:r>
      <w:r>
        <w:rPr>
          <w:rFonts w:hint="eastAsia" w:asciiTheme="minorEastAsia" w:hAnsiTheme="minorEastAsia" w:cstheme="minorEastAsia"/>
          <w:b w:val="0"/>
          <w:bCs w:val="0"/>
          <w:color w:val="E54C5E" w:themeColor="accent6"/>
          <w:spacing w:val="-6"/>
          <w:w w:val="80"/>
          <w:kern w:val="10"/>
          <w:sz w:val="13"/>
          <w:szCs w:val="13"/>
          <w:highlight w:val="none"/>
          <w:shd w:val="clear" w:color="auto" w:fill="auto"/>
          <w:lang w:val="en-US" w:eastAsia="zh-CN"/>
          <w14:textFill>
            <w14:solidFill>
              <w14:schemeClr w14:val="accent6"/>
            </w14:solidFill>
          </w14:textFill>
        </w:rPr>
        <w:t>的区别：</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1检验对象不同 2规模不同 3检验主体不同</w:t>
      </w:r>
      <w:r>
        <w:rPr>
          <w:rFonts w:hint="eastAsia"/>
          <w:b w:val="0"/>
          <w:bCs w:val="0"/>
          <w:spacing w:val="-6"/>
          <w:w w:val="80"/>
          <w:kern w:val="10"/>
          <w:sz w:val="13"/>
          <w:szCs w:val="13"/>
        </w:rPr>
        <w:t>船舶安全检查的结果的处理方式：</w:t>
      </w:r>
      <w:r>
        <w:rPr>
          <w:rFonts w:hint="eastAsia"/>
          <w:b w:val="0"/>
          <w:bCs w:val="0"/>
          <w:spacing w:val="-6"/>
          <w:w w:val="80"/>
          <w:kern w:val="10"/>
          <w:sz w:val="13"/>
          <w:szCs w:val="13"/>
          <w:lang w:val="en-US" w:eastAsia="zh-CN"/>
        </w:rPr>
        <w:t>1</w:t>
      </w:r>
      <w:r>
        <w:rPr>
          <w:rFonts w:hint="eastAsia"/>
          <w:b w:val="0"/>
          <w:bCs w:val="0"/>
          <w:spacing w:val="-6"/>
          <w:w w:val="80"/>
          <w:kern w:val="10"/>
          <w:sz w:val="13"/>
          <w:szCs w:val="13"/>
        </w:rPr>
        <w:t>滞留</w:t>
      </w:r>
      <w:r>
        <w:rPr>
          <w:rFonts w:hint="eastAsia"/>
          <w:b w:val="0"/>
          <w:bCs w:val="0"/>
          <w:spacing w:val="-6"/>
          <w:w w:val="80"/>
          <w:kern w:val="10"/>
          <w:sz w:val="13"/>
          <w:szCs w:val="13"/>
          <w:lang w:val="en-US" w:eastAsia="zh-CN"/>
        </w:rPr>
        <w:t>2</w:t>
      </w:r>
      <w:r>
        <w:rPr>
          <w:rFonts w:hint="eastAsia"/>
          <w:b w:val="0"/>
          <w:bCs w:val="0"/>
          <w:spacing w:val="-6"/>
          <w:w w:val="80"/>
          <w:kern w:val="10"/>
          <w:sz w:val="13"/>
          <w:szCs w:val="13"/>
        </w:rPr>
        <w:t>限期整改</w:t>
      </w:r>
      <w:r>
        <w:rPr>
          <w:rFonts w:hint="eastAsia"/>
          <w:b w:val="0"/>
          <w:bCs w:val="0"/>
          <w:spacing w:val="-6"/>
          <w:w w:val="80"/>
          <w:kern w:val="10"/>
          <w:sz w:val="13"/>
          <w:szCs w:val="13"/>
          <w:lang w:val="en-US" w:eastAsia="zh-CN"/>
        </w:rPr>
        <w:t>3</w:t>
      </w:r>
      <w:r>
        <w:rPr>
          <w:rFonts w:hint="eastAsia"/>
          <w:b w:val="0"/>
          <w:bCs w:val="0"/>
          <w:spacing w:val="-6"/>
          <w:w w:val="80"/>
          <w:kern w:val="10"/>
          <w:sz w:val="13"/>
          <w:szCs w:val="13"/>
        </w:rPr>
        <w:t>开航前纠正</w:t>
      </w:r>
      <w:r>
        <w:rPr>
          <w:rFonts w:hint="eastAsia"/>
          <w:b w:val="0"/>
          <w:bCs w:val="0"/>
          <w:spacing w:val="-6"/>
          <w:w w:val="80"/>
          <w:kern w:val="10"/>
          <w:sz w:val="13"/>
          <w:szCs w:val="13"/>
          <w:lang w:val="en-US" w:eastAsia="zh-CN"/>
        </w:rPr>
        <w:t>4</w:t>
      </w:r>
      <w:r>
        <w:rPr>
          <w:rFonts w:hint="eastAsia"/>
          <w:b w:val="0"/>
          <w:bCs w:val="0"/>
          <w:spacing w:val="-6"/>
          <w:w w:val="80"/>
          <w:kern w:val="10"/>
          <w:sz w:val="13"/>
          <w:szCs w:val="13"/>
        </w:rPr>
        <w:t>警告</w:t>
      </w:r>
      <w:r>
        <w:rPr>
          <w:rFonts w:hint="eastAsia"/>
          <w:b w:val="0"/>
          <w:bCs w:val="0"/>
          <w:spacing w:val="-6"/>
          <w:w w:val="80"/>
          <w:kern w:val="10"/>
          <w:sz w:val="13"/>
          <w:szCs w:val="13"/>
          <w:lang w:val="en-US" w:eastAsia="zh-CN"/>
        </w:rPr>
        <w:t>5</w:t>
      </w:r>
      <w:r>
        <w:rPr>
          <w:rFonts w:hint="eastAsia"/>
          <w:b w:val="0"/>
          <w:bCs w:val="0"/>
          <w:spacing w:val="-6"/>
          <w:w w:val="80"/>
          <w:kern w:val="10"/>
          <w:sz w:val="13"/>
          <w:szCs w:val="13"/>
        </w:rPr>
        <w:t>复查</w:t>
      </w:r>
    </w:p>
    <w:p w14:paraId="36C5944C">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default"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r>
        <w:rPr>
          <w:rFonts w:hint="eastAsia" w:asciiTheme="minorEastAsia" w:hAnsiTheme="minorEastAsia" w:cstheme="minorEastAsia"/>
          <w:b w:val="0"/>
          <w:bCs w:val="0"/>
          <w:color w:val="E54C5E" w:themeColor="accent6"/>
          <w:spacing w:val="-6"/>
          <w:w w:val="80"/>
          <w:kern w:val="10"/>
          <w:sz w:val="13"/>
          <w:szCs w:val="13"/>
          <w:highlight w:val="none"/>
          <w:shd w:val="clear" w:color="auto" w:fill="auto"/>
          <w:lang w:val="en-US" w:eastAsia="zh-CN"/>
          <w14:textFill>
            <w14:solidFill>
              <w14:schemeClr w14:val="accent6"/>
            </w14:solidFill>
          </w14:textFill>
        </w:rPr>
        <w:t>船舶安全管理体系：</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SOLAS公约及ISM规则目标是保障海上安全，防止人员伤亡，避免环境危害和财产损失。为达到此目标，公约和规则要求公司和船舶建立安全管理体系，安全管理体系是指能使公司人员有效实施公司安全和环境保护方针的结构化和文化化体系</w:t>
      </w:r>
    </w:p>
    <w:p w14:paraId="71451BF8">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Style w:val="5"/>
          <w:rFonts w:hint="eastAsia" w:asciiTheme="minorEastAsia" w:hAnsiTheme="minorEastAsia" w:eastAsiaTheme="minorEastAsia" w:cstheme="minorEastAsia"/>
          <w:b w:val="0"/>
          <w:bCs w:val="0"/>
          <w:color w:val="E54C5E" w:themeColor="accent6"/>
          <w:spacing w:val="-6"/>
          <w:w w:val="80"/>
          <w:kern w:val="10"/>
          <w:sz w:val="13"/>
          <w:szCs w:val="13"/>
          <w:highlight w:val="none"/>
          <w:shd w:val="clear" w:color="auto" w:fill="auto"/>
          <w:lang w:bidi="ar"/>
          <w14:textFill>
            <w14:solidFill>
              <w14:schemeClr w14:val="accent6"/>
            </w14:solidFill>
          </w14:textFill>
        </w:rPr>
        <w:t>船舶</w:t>
      </w:r>
      <w:r>
        <w:rPr>
          <w:rFonts w:hint="eastAsia" w:asciiTheme="minorEastAsia" w:hAnsiTheme="minorEastAsia" w:eastAsiaTheme="minorEastAsia" w:cstheme="minorEastAsia"/>
          <w:b w:val="0"/>
          <w:bCs w:val="0"/>
          <w:color w:val="E54C5E" w:themeColor="accent6"/>
          <w:spacing w:val="-6"/>
          <w:w w:val="80"/>
          <w:kern w:val="10"/>
          <w:sz w:val="13"/>
          <w:szCs w:val="13"/>
          <w:highlight w:val="none"/>
          <w:shd w:val="clear" w:color="auto" w:fill="auto"/>
          <w14:textFill>
            <w14:solidFill>
              <w14:schemeClr w14:val="accent6"/>
            </w14:solidFill>
          </w14:textFill>
        </w:rPr>
        <w:t>安全检查</w:t>
      </w:r>
      <w:r>
        <w:rPr>
          <w:rStyle w:val="5"/>
          <w:rFonts w:hint="eastAsia" w:asciiTheme="minorEastAsia" w:hAnsiTheme="minorEastAsia" w:eastAsiaTheme="minorEastAsia" w:cstheme="minorEastAsia"/>
          <w:b w:val="0"/>
          <w:bCs w:val="0"/>
          <w:color w:val="E54C5E" w:themeColor="accent6"/>
          <w:spacing w:val="-6"/>
          <w:w w:val="80"/>
          <w:kern w:val="10"/>
          <w:sz w:val="13"/>
          <w:szCs w:val="13"/>
          <w:highlight w:val="none"/>
          <w:shd w:val="clear" w:color="auto" w:fill="auto"/>
          <w:lang w:bidi="ar"/>
          <w14:textFill>
            <w14:solidFill>
              <w14:schemeClr w14:val="accent6"/>
            </w14:solidFill>
          </w14:textFill>
        </w:rPr>
        <w:t>的内容应包括哪些？</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船舶证书及有关文件、资料</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船员及其配备</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救生设备</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消防设备；事故预防</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一般安全措施；报警设施</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货物积载及其装卸设备；载重线要求</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系泊设备；推进及辅助机械</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航行设备；无线电设备</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防污染设备；液货装载设施；船员对与其岗位相关的设施设备的实际操作能力。</w:t>
      </w:r>
    </w:p>
    <w:p w14:paraId="73F5A9E3">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3B692D1A">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bookmarkStart w:id="0" w:name="_GoBack"/>
      <w:bookmarkEnd w:id="0"/>
    </w:p>
    <w:p w14:paraId="753C8F02">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296884E3">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3160C6A0">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4D8041A8">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640BA805">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327DC974">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373560E7">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6F676092">
      <w:pPr>
        <w:keepNext w:val="0"/>
        <w:keepLines w:val="0"/>
        <w:pageBreakBefore w:val="0"/>
        <w:widowControl/>
        <w:kinsoku/>
        <w:wordWrap/>
        <w:overflowPunct/>
        <w:topLinePunct w:val="0"/>
        <w:autoSpaceDE/>
        <w:autoSpaceDN/>
        <w:bidi w:val="0"/>
        <w:adjustRightInd/>
        <w:snapToGrid/>
        <w:spacing w:line="130" w:lineRule="exact"/>
        <w:jc w:val="center"/>
        <w:textAlignment w:val="auto"/>
        <w:rPr>
          <w:rFonts w:hint="default"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船舶规则</w:t>
      </w:r>
    </w:p>
    <w:p w14:paraId="32D77DC8">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r>
        <w:rPr>
          <w:rFonts w:hint="eastAsia" w:asciiTheme="minorEastAsia" w:hAnsiTheme="minorEastAsia" w:eastAsiaTheme="minorEastAsia" w:cstheme="minorEastAsia"/>
          <w:b w:val="0"/>
          <w:bCs w:val="0"/>
          <w:color w:val="FF0000"/>
          <w:spacing w:val="-6"/>
          <w:w w:val="80"/>
          <w:kern w:val="10"/>
          <w:sz w:val="13"/>
          <w:szCs w:val="13"/>
          <w:highlight w:val="none"/>
          <w:shd w:val="clear" w:color="auto" w:fill="auto"/>
          <w:lang w:val="en-US" w:eastAsia="zh-CN"/>
        </w:rPr>
        <w:t>ISM</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⑴适用范围：</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客船</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500总吨及以上油船、化学品液货船、气体运输船、散货船和高速货船；500总吨及以上其他货船和海上移动式钻井平台</w:t>
      </w:r>
    </w:p>
    <w:p w14:paraId="00B59BF0">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⑵安全管理要求：</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公司和船舶应符合ISM规则的要求；船舶应持有符合证明的公司营运。</w:t>
      </w:r>
    </w:p>
    <w:p w14:paraId="53CBA4A7">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⑶发证</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应为每一符合ISM规则要求的公司签发证明。该证明文件应由主管机关、主管机关认可的组织或应主管机关的请求由另一缔约国政府签发</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船上应存一份符合证明副本，以使船长在被要求验证时出示。主管机关或主管机关认可的组织应为每艘出版签发SMC证书，持有SMC证书后的船舶受港口国的控制。</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⑶审核：</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主管机关或主管机关认可的组织、应主管机关要求的另一缔约国政府应定期审核安全管理体系是否可以正常运行。</w:t>
      </w:r>
    </w:p>
    <w:p w14:paraId="377308F8">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r>
        <w:rPr>
          <w:rFonts w:hint="eastAsia"/>
          <w:b w:val="0"/>
          <w:bCs w:val="0"/>
          <w:color w:val="C00000"/>
          <w:spacing w:val="-6"/>
          <w:w w:val="80"/>
          <w:kern w:val="10"/>
          <w:sz w:val="13"/>
          <w:szCs w:val="13"/>
        </w:rPr>
        <w:t>SOLAS</w:t>
      </w:r>
      <w:r>
        <w:rPr>
          <w:rFonts w:hint="eastAsia"/>
          <w:b w:val="0"/>
          <w:bCs w:val="0"/>
          <w:spacing w:val="-6"/>
          <w:w w:val="80"/>
          <w:kern w:val="10"/>
          <w:sz w:val="13"/>
          <w:szCs w:val="13"/>
        </w:rPr>
        <w:t>的发展：14年通过了第一个《国际海上人命安全公约》</w:t>
      </w:r>
      <w:r>
        <w:rPr>
          <w:rFonts w:hint="eastAsia"/>
          <w:b w:val="0"/>
          <w:bCs w:val="0"/>
          <w:spacing w:val="-6"/>
          <w:w w:val="80"/>
          <w:kern w:val="10"/>
          <w:sz w:val="13"/>
          <w:szCs w:val="13"/>
          <w:lang w:eastAsia="zh-CN"/>
        </w:rPr>
        <w:t>。</w:t>
      </w:r>
      <w:r>
        <w:rPr>
          <w:rFonts w:hint="eastAsia"/>
          <w:b w:val="0"/>
          <w:bCs w:val="0"/>
          <w:spacing w:val="-6"/>
          <w:w w:val="80"/>
          <w:kern w:val="10"/>
          <w:sz w:val="13"/>
          <w:szCs w:val="13"/>
        </w:rPr>
        <w:t>29 年通过新的《SOLAS》公约 48 年公约在许多方面改进74 年通过新的《SOLAS》公约</w:t>
      </w:r>
    </w:p>
    <w:p w14:paraId="121AB477">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r>
        <w:rPr>
          <w:rFonts w:hint="eastAsia"/>
          <w:b w:val="0"/>
          <w:bCs w:val="0"/>
          <w:color w:val="C00000"/>
          <w:spacing w:val="-6"/>
          <w:w w:val="80"/>
          <w:kern w:val="10"/>
          <w:sz w:val="13"/>
          <w:szCs w:val="13"/>
        </w:rPr>
        <w:t>SOLAS</w:t>
      </w:r>
      <w:r>
        <w:rPr>
          <w:rFonts w:hint="eastAsia"/>
          <w:b w:val="0"/>
          <w:bCs w:val="0"/>
          <w:spacing w:val="-6"/>
          <w:w w:val="80"/>
          <w:kern w:val="10"/>
          <w:sz w:val="13"/>
          <w:szCs w:val="13"/>
        </w:rPr>
        <w:t>的功用：保障人命安全</w:t>
      </w:r>
      <w:r>
        <w:rPr>
          <w:rFonts w:hint="eastAsia"/>
          <w:b w:val="0"/>
          <w:bCs w:val="0"/>
          <w:spacing w:val="-6"/>
          <w:w w:val="80"/>
          <w:kern w:val="10"/>
          <w:sz w:val="13"/>
          <w:szCs w:val="13"/>
          <w:lang w:eastAsia="zh-CN"/>
        </w:rPr>
        <w:t>，</w:t>
      </w:r>
      <w:r>
        <w:rPr>
          <w:rFonts w:hint="eastAsia"/>
          <w:b w:val="0"/>
          <w:bCs w:val="0"/>
          <w:spacing w:val="-6"/>
          <w:w w:val="80"/>
          <w:kern w:val="10"/>
          <w:sz w:val="13"/>
          <w:szCs w:val="13"/>
        </w:rPr>
        <w:t>规范船舶运营</w:t>
      </w:r>
      <w:r>
        <w:rPr>
          <w:rFonts w:hint="eastAsia"/>
          <w:b w:val="0"/>
          <w:bCs w:val="0"/>
          <w:spacing w:val="-6"/>
          <w:w w:val="80"/>
          <w:kern w:val="10"/>
          <w:sz w:val="13"/>
          <w:szCs w:val="13"/>
          <w:lang w:eastAsia="zh-CN"/>
        </w:rPr>
        <w:t>，</w:t>
      </w:r>
      <w:r>
        <w:rPr>
          <w:rFonts w:hint="eastAsia"/>
          <w:b w:val="0"/>
          <w:bCs w:val="0"/>
          <w:spacing w:val="-6"/>
          <w:w w:val="80"/>
          <w:kern w:val="10"/>
          <w:sz w:val="13"/>
          <w:szCs w:val="13"/>
        </w:rPr>
        <w:t>维护海上秩序</w:t>
      </w:r>
    </w:p>
    <w:p w14:paraId="48B61F1F">
      <w:pPr>
        <w:keepNext w:val="0"/>
        <w:keepLines w:val="0"/>
        <w:pageBreakBefore w:val="0"/>
        <w:kinsoku/>
        <w:wordWrap/>
        <w:overflowPunct/>
        <w:topLinePunct w:val="0"/>
        <w:autoSpaceDE/>
        <w:autoSpaceDN/>
        <w:bidi w:val="0"/>
        <w:adjustRightInd/>
        <w:snapToGrid/>
        <w:spacing w:line="130" w:lineRule="exac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bidi="ar"/>
        </w:rPr>
      </w:pPr>
      <w:r>
        <w:rPr>
          <w:rFonts w:hint="eastAsia" w:asciiTheme="minorEastAsia" w:hAnsiTheme="minorEastAsia" w:eastAsiaTheme="minorEastAsia" w:cstheme="minorEastAsia"/>
          <w:b w:val="0"/>
          <w:bCs w:val="0"/>
          <w:color w:val="C00000"/>
          <w:spacing w:val="-6"/>
          <w:w w:val="80"/>
          <w:kern w:val="10"/>
          <w:sz w:val="13"/>
          <w:szCs w:val="13"/>
          <w:highlight w:val="none"/>
          <w:shd w:val="clear" w:color="auto" w:fill="auto"/>
        </w:rPr>
        <w:t>MLC</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主要目的是保障船员的生活工作环境，保护船员的合法权益，是一部船员的权利法案。构架：正文条款、规则、技术守则</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五个</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bidi="ar"/>
        </w:rPr>
        <w:t>标题</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bidi="ar"/>
        </w:rPr>
        <w:t>:</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1</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海员上船工作的最低要求</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2</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就业条件</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3</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起居舱室、娱乐设施、食品和膳食服务</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4</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健康保护</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医疗</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福利及社会保障</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5</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遵守与执行</w:t>
      </w:r>
    </w:p>
    <w:p w14:paraId="0215E339">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Style w:val="5"/>
          <w:rFonts w:hint="eastAsia" w:ascii="宋体" w:hAnsi="宋体" w:eastAsia="宋体" w:cs="宋体"/>
          <w:b w:val="0"/>
          <w:bCs w:val="0"/>
          <w:color w:val="FF0000"/>
          <w:spacing w:val="-6"/>
          <w:w w:val="80"/>
          <w:kern w:val="10"/>
          <w:sz w:val="13"/>
          <w:szCs w:val="13"/>
          <w:lang w:bidi="ar"/>
        </w:rPr>
        <w:t>STCW</w:t>
      </w:r>
      <w:r>
        <w:rPr>
          <w:rFonts w:hint="eastAsia" w:ascii="宋体" w:hAnsi="宋体" w:eastAsia="宋体" w:cs="宋体"/>
          <w:b w:val="0"/>
          <w:bCs w:val="0"/>
          <w:color w:val="auto"/>
          <w:spacing w:val="-6"/>
          <w:w w:val="80"/>
          <w:kern w:val="10"/>
          <w:sz w:val="13"/>
          <w:szCs w:val="13"/>
          <w:shd w:val="clear" w:color="auto" w:fill="FFFFFF"/>
          <w:lang w:bidi="ar"/>
        </w:rPr>
        <w:t>:是控制海船船员培训、发证和值班标准方面的国际公约</w:t>
      </w:r>
      <w:r>
        <w:rPr>
          <w:rFonts w:hint="eastAsia" w:ascii="宋体" w:hAnsi="宋体" w:eastAsia="宋体" w:cs="宋体"/>
          <w:b w:val="0"/>
          <w:bCs w:val="0"/>
          <w:color w:val="auto"/>
          <w:spacing w:val="-6"/>
          <w:w w:val="80"/>
          <w:kern w:val="10"/>
          <w:sz w:val="13"/>
          <w:szCs w:val="13"/>
          <w:shd w:val="clear" w:color="auto" w:fill="FFFFFF"/>
          <w:lang w:eastAsia="zh-CN" w:bidi="ar"/>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构架：正文条款，附则、规则，规则分A、B部分</w:t>
      </w:r>
    </w:p>
    <w:p w14:paraId="6AAB4818">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FF0000"/>
          <w:spacing w:val="-6"/>
          <w:w w:val="80"/>
          <w:kern w:val="10"/>
          <w:sz w:val="13"/>
          <w:szCs w:val="13"/>
          <w:highlight w:val="none"/>
          <w:shd w:val="clear" w:color="auto" w:fill="auto"/>
        </w:rPr>
        <w:t>MARROL</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公约旨在将向海洋倾倒污染物、排放油类以及向大气中排放有害气体等污染物的水平的降至最低水平，从而保护海洋环境。构架：正文条款、两个议定书、6个技术性附则</w:t>
      </w:r>
    </w:p>
    <w:p w14:paraId="21177429">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06B59DEB">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7225FC31">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140DD178">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127C3ED3">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7766C2D0">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224135AA">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4247A593">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7104EE2A">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47B91C53">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6913B3F9">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30130250">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5FC030FD">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136FF0D8">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49BB78DA">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42DAA196">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28FD97B0">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2066AD3D">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2DE5A8EC">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0BD5FACB">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5B5DB18D">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15F3A9D4">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14A83D2C">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p>
    <w:p w14:paraId="4F24F13B">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jc w:val="center"/>
        <w:textAlignment w:val="auto"/>
        <w:rPr>
          <w:rFonts w:hint="default" w:asciiTheme="minorHAnsi" w:hAnsiTheme="minorHAnsi" w:eastAsiaTheme="minorEastAsia" w:cstheme="minorBidi"/>
          <w:b w:val="0"/>
          <w:bCs w:val="0"/>
          <w:spacing w:val="-6"/>
          <w:w w:val="80"/>
          <w:kern w:val="10"/>
          <w:sz w:val="13"/>
          <w:szCs w:val="13"/>
          <w:lang w:val="en-US" w:eastAsia="zh-CN" w:bidi="ar-SA"/>
        </w:rPr>
      </w:pPr>
      <w:r>
        <w:rPr>
          <w:rFonts w:hint="eastAsia" w:cstheme="minorBidi"/>
          <w:b w:val="0"/>
          <w:bCs w:val="0"/>
          <w:spacing w:val="-6"/>
          <w:w w:val="80"/>
          <w:kern w:val="10"/>
          <w:sz w:val="13"/>
          <w:szCs w:val="13"/>
          <w:lang w:val="en-US" w:eastAsia="zh-CN" w:bidi="ar-SA"/>
        </w:rPr>
        <w:t>垃圾排放以及污染相关</w:t>
      </w:r>
    </w:p>
    <w:p w14:paraId="36BAD7C6">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《MARPOL》附则V规定</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的</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特殊区域</w:t>
      </w:r>
      <w:r>
        <w:rPr>
          <w:rFonts w:hint="eastAsia" w:asciiTheme="minorEastAsia" w:hAnsiTheme="minorEastAsia" w:cstheme="minorEastAsia"/>
          <w:b w:val="0"/>
          <w:bCs w:val="0"/>
          <w:color w:val="auto"/>
          <w:spacing w:val="-6"/>
          <w:w w:val="80"/>
          <w:kern w:val="10"/>
          <w:sz w:val="13"/>
          <w:szCs w:val="13"/>
          <w:highlight w:val="none"/>
          <w:shd w:val="clear" w:color="auto" w:fill="auto"/>
          <w:lang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bidi="ar"/>
        </w:rPr>
        <w:t>地中海区域、波罗的海区域、黑海区域、红海区域、海湾区域、北海区域、南极区域、大加勒比区域</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《MARPOL》附则I规定</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的</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特殊区域</w:t>
      </w:r>
    </w:p>
    <w:p w14:paraId="146D12AE">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地中海区域、波罗的海区域、黑海区域、红海区域、海湾区域、亚丁湾区域、南极区域、西北欧水域、阿拉伯海的阿曼区域及南部南非区域</w:t>
      </w:r>
    </w:p>
    <w:p w14:paraId="71F4A64F">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一、特殊区域</w:t>
      </w:r>
      <w:r>
        <w:rPr>
          <w:rFonts w:hint="eastAsia" w:asciiTheme="minorHAnsi" w:hAnsiTheme="minorHAnsi" w:eastAsiaTheme="minorEastAsia" w:cstheme="minorBidi"/>
          <w:b w:val="0"/>
          <w:bCs w:val="0"/>
          <w:color w:val="C00000"/>
          <w:spacing w:val="-6"/>
          <w:w w:val="80"/>
          <w:kern w:val="10"/>
          <w:sz w:val="13"/>
          <w:szCs w:val="13"/>
          <w:lang w:val="en-US" w:eastAsia="zh-CN" w:bidi="ar-SA"/>
        </w:rPr>
        <w:t>外</w:t>
      </w:r>
      <w:r>
        <w:rPr>
          <w:rFonts w:hint="eastAsia" w:asciiTheme="minorHAnsi" w:hAnsiTheme="minorHAnsi" w:eastAsiaTheme="minorEastAsia" w:cstheme="minorBidi"/>
          <w:b w:val="0"/>
          <w:bCs w:val="0"/>
          <w:spacing w:val="-6"/>
          <w:w w:val="80"/>
          <w:kern w:val="10"/>
          <w:sz w:val="13"/>
          <w:szCs w:val="13"/>
          <w:lang w:val="en-US" w:eastAsia="zh-CN" w:bidi="ar-SA"/>
        </w:rPr>
        <w:t>对船舶</w:t>
      </w:r>
      <w:r>
        <w:rPr>
          <w:rFonts w:hint="eastAsia" w:asciiTheme="minorHAnsi" w:hAnsiTheme="minorHAnsi" w:eastAsiaTheme="minorEastAsia" w:cstheme="minorBidi"/>
          <w:b w:val="0"/>
          <w:bCs w:val="0"/>
          <w:color w:val="C00000"/>
          <w:spacing w:val="-6"/>
          <w:w w:val="80"/>
          <w:kern w:val="10"/>
          <w:sz w:val="13"/>
          <w:szCs w:val="13"/>
          <w:lang w:val="en-US" w:eastAsia="zh-CN" w:bidi="ar-SA"/>
        </w:rPr>
        <w:t>机器</w:t>
      </w:r>
      <w:r>
        <w:rPr>
          <w:rFonts w:hint="eastAsia" w:asciiTheme="minorHAnsi" w:hAnsiTheme="minorHAnsi" w:eastAsiaTheme="minorEastAsia" w:cstheme="minorBidi"/>
          <w:b w:val="0"/>
          <w:bCs w:val="0"/>
          <w:spacing w:val="-6"/>
          <w:w w:val="80"/>
          <w:kern w:val="10"/>
          <w:sz w:val="13"/>
          <w:szCs w:val="13"/>
          <w:lang w:val="en-US" w:eastAsia="zh-CN" w:bidi="ar-SA"/>
        </w:rPr>
        <w:t>处所的排油控制要求</w:t>
      </w:r>
    </w:p>
    <w:p w14:paraId="032682D6">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40总吨及以上船舶机器处所的舱底污水在特殊区域内外均可以排放，而且没有与最近陆地的距离要求，但排放必须满足相应的标准，并记入规定的油类记录簿</w:t>
      </w:r>
    </w:p>
    <w:p w14:paraId="74476A6E">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特殊区域</w:t>
      </w:r>
      <w:r>
        <w:rPr>
          <w:rFonts w:hint="eastAsia" w:asciiTheme="minorHAnsi" w:hAnsiTheme="minorHAnsi" w:eastAsiaTheme="minorEastAsia" w:cstheme="minorBidi"/>
          <w:b w:val="0"/>
          <w:bCs w:val="0"/>
          <w:color w:val="C00000"/>
          <w:spacing w:val="-6"/>
          <w:w w:val="80"/>
          <w:kern w:val="10"/>
          <w:sz w:val="13"/>
          <w:szCs w:val="13"/>
          <w:lang w:val="en-US" w:eastAsia="zh-CN" w:bidi="ar-SA"/>
        </w:rPr>
        <w:t>外</w:t>
      </w:r>
      <w:r>
        <w:rPr>
          <w:rFonts w:hint="eastAsia" w:asciiTheme="minorHAnsi" w:hAnsiTheme="minorHAnsi" w:eastAsiaTheme="minorEastAsia" w:cstheme="minorBidi"/>
          <w:b w:val="0"/>
          <w:bCs w:val="0"/>
          <w:spacing w:val="-6"/>
          <w:w w:val="80"/>
          <w:kern w:val="10"/>
          <w:sz w:val="13"/>
          <w:szCs w:val="13"/>
          <w:lang w:val="en-US" w:eastAsia="zh-CN" w:bidi="ar-SA"/>
        </w:rPr>
        <w:t>排放标准</w:t>
      </w:r>
      <w:r>
        <w:rPr>
          <w:rFonts w:hint="eastAsia" w:cstheme="minorBidi"/>
          <w:b w:val="0"/>
          <w:bCs w:val="0"/>
          <w:spacing w:val="-6"/>
          <w:w w:val="80"/>
          <w:kern w:val="10"/>
          <w:sz w:val="13"/>
          <w:szCs w:val="13"/>
          <w:lang w:val="en-US" w:eastAsia="zh-CN" w:bidi="ar-SA"/>
        </w:rPr>
        <w:t>：</w:t>
      </w:r>
      <w:r>
        <w:rPr>
          <w:rFonts w:hint="eastAsia" w:asciiTheme="minorHAnsi" w:hAnsiTheme="minorHAnsi" w:eastAsiaTheme="minorEastAsia" w:cstheme="minorBidi"/>
          <w:b w:val="0"/>
          <w:bCs w:val="0"/>
          <w:spacing w:val="-6"/>
          <w:w w:val="80"/>
          <w:kern w:val="10"/>
          <w:sz w:val="13"/>
          <w:szCs w:val="13"/>
          <w:lang w:val="en-US" w:eastAsia="zh-CN" w:bidi="ar-SA"/>
        </w:rPr>
        <w:t>机器处所的舱底污水在特殊区域外的排放标准为：正在航行途中：船上按要求配备的滤油设备正在运转；未经稀释的排出物的含油量不超过15ppm。</w:t>
      </w:r>
    </w:p>
    <w:p w14:paraId="3855211E">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特殊区城</w:t>
      </w:r>
      <w:r>
        <w:rPr>
          <w:rFonts w:hint="eastAsia" w:asciiTheme="minorHAnsi" w:hAnsiTheme="minorHAnsi" w:eastAsiaTheme="minorEastAsia" w:cstheme="minorBidi"/>
          <w:b w:val="0"/>
          <w:bCs w:val="0"/>
          <w:color w:val="C00000"/>
          <w:spacing w:val="-6"/>
          <w:w w:val="80"/>
          <w:kern w:val="10"/>
          <w:sz w:val="13"/>
          <w:szCs w:val="13"/>
          <w:lang w:val="en-US" w:eastAsia="zh-CN" w:bidi="ar-SA"/>
        </w:rPr>
        <w:t>内</w:t>
      </w:r>
      <w:r>
        <w:rPr>
          <w:rFonts w:hint="eastAsia" w:asciiTheme="minorHAnsi" w:hAnsiTheme="minorHAnsi" w:eastAsiaTheme="minorEastAsia" w:cstheme="minorBidi"/>
          <w:b w:val="0"/>
          <w:bCs w:val="0"/>
          <w:spacing w:val="-6"/>
          <w:w w:val="80"/>
          <w:kern w:val="10"/>
          <w:sz w:val="13"/>
          <w:szCs w:val="13"/>
          <w:lang w:val="en-US" w:eastAsia="zh-CN" w:bidi="ar-SA"/>
        </w:rPr>
        <w:t>排放</w:t>
      </w:r>
      <w:r>
        <w:rPr>
          <w:rFonts w:hint="eastAsia" w:cstheme="minorBidi"/>
          <w:b w:val="0"/>
          <w:bCs w:val="0"/>
          <w:spacing w:val="-6"/>
          <w:w w:val="80"/>
          <w:kern w:val="10"/>
          <w:sz w:val="13"/>
          <w:szCs w:val="13"/>
          <w:lang w:val="en-US" w:eastAsia="zh-CN" w:bidi="ar-SA"/>
        </w:rPr>
        <w:t>标准</w:t>
      </w:r>
      <w:r>
        <w:rPr>
          <w:rFonts w:hint="eastAsia" w:asciiTheme="minorHAnsi" w:hAnsiTheme="minorHAnsi" w:eastAsiaTheme="minorEastAsia" w:cstheme="minorBidi"/>
          <w:b w:val="0"/>
          <w:bCs w:val="0"/>
          <w:spacing w:val="-6"/>
          <w:w w:val="80"/>
          <w:kern w:val="10"/>
          <w:sz w:val="13"/>
          <w:szCs w:val="13"/>
          <w:lang w:val="en-US" w:eastAsia="zh-CN" w:bidi="ar-SA"/>
        </w:rPr>
        <w:t>400总吨及以上船舶排放经过处理的机器处所的舱底污水时，必须满足下列条件：正在航行途中：船上所设符合规定的过滤设备正在运转；未经稀释排出物的含油量不超过15ppm:含油污水不是来自货油泵舱：含油污水不混有货油残余物。</w:t>
      </w:r>
    </w:p>
    <w:p w14:paraId="178F8D5D">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二、特殊区域</w:t>
      </w:r>
      <w:r>
        <w:rPr>
          <w:rFonts w:hint="eastAsia" w:asciiTheme="minorHAnsi" w:hAnsiTheme="minorHAnsi" w:eastAsiaTheme="minorEastAsia" w:cstheme="minorBidi"/>
          <w:b w:val="0"/>
          <w:bCs w:val="0"/>
          <w:color w:val="C00000"/>
          <w:spacing w:val="-6"/>
          <w:w w:val="80"/>
          <w:kern w:val="10"/>
          <w:sz w:val="13"/>
          <w:szCs w:val="13"/>
          <w:lang w:val="en-US" w:eastAsia="zh-CN" w:bidi="ar-SA"/>
        </w:rPr>
        <w:t>外</w:t>
      </w:r>
      <w:r>
        <w:rPr>
          <w:rFonts w:hint="eastAsia" w:asciiTheme="minorHAnsi" w:hAnsiTheme="minorHAnsi" w:eastAsiaTheme="minorEastAsia" w:cstheme="minorBidi"/>
          <w:b w:val="0"/>
          <w:bCs w:val="0"/>
          <w:spacing w:val="-6"/>
          <w:w w:val="80"/>
          <w:kern w:val="10"/>
          <w:sz w:val="13"/>
          <w:szCs w:val="13"/>
          <w:lang w:val="en-US" w:eastAsia="zh-CN" w:bidi="ar-SA"/>
        </w:rPr>
        <w:t>对船舶</w:t>
      </w:r>
      <w:r>
        <w:rPr>
          <w:rFonts w:hint="eastAsia" w:asciiTheme="minorHAnsi" w:hAnsiTheme="minorHAnsi" w:eastAsiaTheme="minorEastAsia" w:cstheme="minorBidi"/>
          <w:b w:val="0"/>
          <w:bCs w:val="0"/>
          <w:color w:val="C00000"/>
          <w:spacing w:val="-6"/>
          <w:w w:val="80"/>
          <w:kern w:val="10"/>
          <w:sz w:val="13"/>
          <w:szCs w:val="13"/>
          <w:lang w:val="en-US" w:eastAsia="zh-CN" w:bidi="ar-SA"/>
        </w:rPr>
        <w:t>货油</w:t>
      </w:r>
      <w:r>
        <w:rPr>
          <w:rFonts w:hint="eastAsia" w:asciiTheme="minorHAnsi" w:hAnsiTheme="minorHAnsi" w:eastAsiaTheme="minorEastAsia" w:cstheme="minorBidi"/>
          <w:b w:val="0"/>
          <w:bCs w:val="0"/>
          <w:spacing w:val="-6"/>
          <w:w w:val="80"/>
          <w:kern w:val="10"/>
          <w:sz w:val="13"/>
          <w:szCs w:val="13"/>
          <w:lang w:val="en-US" w:eastAsia="zh-CN" w:bidi="ar-SA"/>
        </w:rPr>
        <w:t>处所的排油控制要求</w:t>
      </w:r>
    </w:p>
    <w:p w14:paraId="6CB8B3D0">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货油舱污压载水、洗舱水，系舱舱底水在特殊区域内禁止排放</w:t>
      </w:r>
    </w:p>
    <w:p w14:paraId="31926D45">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在特殊区域内任何油船压载水和洗舱水等禁止排放人海，但清洁压载舱或专用压载舱的除外。</w:t>
      </w:r>
    </w:p>
    <w:p w14:paraId="6EF485C5">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货油舱污压载水、洗舱水泵舱舱底水的排放标准为：船舶不在特殊区域之内：船帕距最近陆地50 n mile以上；船舶正在途中航行：油量瞬间排放率不超过30L/n mile:排人海中的总油量，现有油船不得超过上航次载油量的1/15000,新油船不得超过1/30000：附则要求的排油监控系统及污油水舱的装置正在运行。</w:t>
      </w:r>
    </w:p>
    <w:p w14:paraId="70B16702">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三、</w:t>
      </w:r>
      <w:r>
        <w:rPr>
          <w:rFonts w:hint="eastAsia" w:asciiTheme="minorHAnsi" w:hAnsiTheme="minorHAnsi" w:eastAsiaTheme="minorEastAsia" w:cstheme="minorBidi"/>
          <w:b w:val="0"/>
          <w:bCs w:val="0"/>
          <w:spacing w:val="-6"/>
          <w:w w:val="80"/>
          <w:kern w:val="10"/>
          <w:sz w:val="13"/>
          <w:szCs w:val="13"/>
          <w:lang w:val="en-US" w:eastAsia="zh-CN" w:bidi="ar-SA"/>
        </w:rPr>
        <w:t>垃圾的处理要求</w:t>
      </w:r>
      <w:r>
        <w:rPr>
          <w:rFonts w:hint="eastAsia" w:cstheme="minorBidi"/>
          <w:b w:val="0"/>
          <w:bCs w:val="0"/>
          <w:spacing w:val="-6"/>
          <w:w w:val="80"/>
          <w:kern w:val="10"/>
          <w:sz w:val="13"/>
          <w:szCs w:val="13"/>
          <w:lang w:val="en-US" w:eastAsia="zh-CN" w:bidi="ar-SA"/>
        </w:rPr>
        <w:t>：1</w:t>
      </w:r>
      <w:r>
        <w:rPr>
          <w:rFonts w:hint="eastAsia" w:asciiTheme="minorHAnsi" w:hAnsiTheme="minorHAnsi" w:eastAsiaTheme="minorEastAsia" w:cstheme="minorBidi"/>
          <w:b w:val="0"/>
          <w:bCs w:val="0"/>
          <w:spacing w:val="-6"/>
          <w:w w:val="80"/>
          <w:kern w:val="10"/>
          <w:sz w:val="13"/>
          <w:szCs w:val="13"/>
          <w:lang w:val="en-US" w:eastAsia="zh-CN" w:bidi="ar-SA"/>
        </w:rPr>
        <w:t>塑料垃圾禁止排放入海。所有塑料垃圾都要收集起来，在港口接收设施进行处理。</w:t>
      </w:r>
      <w:r>
        <w:rPr>
          <w:rFonts w:hint="eastAsia" w:cstheme="minorBidi"/>
          <w:b w:val="0"/>
          <w:bCs w:val="0"/>
          <w:spacing w:val="-6"/>
          <w:w w:val="80"/>
          <w:kern w:val="10"/>
          <w:sz w:val="13"/>
          <w:szCs w:val="13"/>
          <w:lang w:val="en-US" w:eastAsia="zh-CN" w:bidi="ar-SA"/>
        </w:rPr>
        <w:t>2</w:t>
      </w:r>
      <w:r>
        <w:rPr>
          <w:rFonts w:hint="eastAsia" w:asciiTheme="minorHAnsi" w:hAnsiTheme="minorHAnsi" w:eastAsiaTheme="minorEastAsia" w:cstheme="minorBidi"/>
          <w:b w:val="0"/>
          <w:bCs w:val="0"/>
          <w:spacing w:val="-6"/>
          <w:w w:val="80"/>
          <w:kern w:val="10"/>
          <w:sz w:val="13"/>
          <w:szCs w:val="13"/>
          <w:lang w:val="en-US" w:eastAsia="zh-CN" w:bidi="ar-SA"/>
        </w:rPr>
        <w:t>货物残余，在特殊区域外，对海洋环境无害的固体散装货物的残余，在距最近陆地12海里以外可以排放。对海洋环境有害的货物残余，禁止排放入海，收集到港口接收设施</w:t>
      </w:r>
      <w:r>
        <w:rPr>
          <w:rFonts w:hint="eastAsia" w:cstheme="minorBidi"/>
          <w:b w:val="0"/>
          <w:bCs w:val="0"/>
          <w:spacing w:val="-6"/>
          <w:w w:val="80"/>
          <w:kern w:val="10"/>
          <w:sz w:val="13"/>
          <w:szCs w:val="13"/>
          <w:lang w:val="en-US" w:eastAsia="zh-CN" w:bidi="ar-SA"/>
        </w:rPr>
        <w:t>3</w:t>
      </w:r>
      <w:r>
        <w:rPr>
          <w:rFonts w:hint="eastAsia" w:asciiTheme="minorHAnsi" w:hAnsiTheme="minorHAnsi" w:eastAsiaTheme="minorEastAsia" w:cstheme="minorBidi"/>
          <w:b w:val="0"/>
          <w:bCs w:val="0"/>
          <w:spacing w:val="-6"/>
          <w:w w:val="80"/>
          <w:kern w:val="10"/>
          <w:sz w:val="13"/>
          <w:szCs w:val="13"/>
          <w:lang w:val="en-US" w:eastAsia="zh-CN" w:bidi="ar-SA"/>
        </w:rPr>
        <w:t>食品废弃物：在特殊区域外，食品废弃物可以在距最近陆地3海里以外排放，但如果经过粉碎处理，颗粒直径不超过25毫米，可以在距最近陆地12海里以外排放。</w:t>
      </w:r>
    </w:p>
    <w:p w14:paraId="46BDDAD2">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rPr>
      </w:pPr>
    </w:p>
    <w:p w14:paraId="0EF4A27E">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船舶排放的污染物主要有哪类？</w:t>
      </w:r>
    </w:p>
    <w:p w14:paraId="79A0DB2C">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1油类和含油混合物2散装有毒液体物质3海运包装有害物质</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4</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船舶生活污水5船舶垃圾6船舶空气污染物</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7</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船舶压载水中的有害生物</w:t>
      </w:r>
    </w:p>
    <w:p w14:paraId="47E75A95">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防止船舶污染海洋环境的措施</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制定、完善并严格执行防污染法规；配备先进的防污染设备；</w:t>
      </w:r>
    </w:p>
    <w:p w14:paraId="43B24EE9">
      <w:pPr>
        <w:keepNext w:val="0"/>
        <w:keepLines w:val="0"/>
        <w:pageBreakBefore w:val="0"/>
        <w:kinsoku/>
        <w:wordWrap/>
        <w:overflowPunct/>
        <w:topLinePunct w:val="0"/>
        <w:autoSpaceDE/>
        <w:autoSpaceDN/>
        <w:bidi w:val="0"/>
        <w:adjustRightInd/>
        <w:snapToGrid/>
        <w:spacing w:line="130" w:lineRule="exac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加强对船舶防污染检查与监督；加强从业人员的防污染意识；规范船员职业行为；严格遵守各类作业操作规程；构建与船舶防污染要求相适应的船外环境。</w:t>
      </w:r>
    </w:p>
    <w:p w14:paraId="16B32EB3">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pPr>
    </w:p>
    <w:p w14:paraId="292A2C1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9F29C5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8FF625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4C04DE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49C447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77E006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450113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B1DEEC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2E064F8">
      <w:pPr>
        <w:keepNext w:val="0"/>
        <w:keepLines w:val="0"/>
        <w:pageBreakBefore w:val="0"/>
        <w:kinsoku/>
        <w:wordWrap/>
        <w:overflowPunct/>
        <w:topLinePunct w:val="0"/>
        <w:autoSpaceDE/>
        <w:autoSpaceDN/>
        <w:bidi w:val="0"/>
        <w:adjustRightInd/>
        <w:snapToGrid/>
        <w:spacing w:line="130" w:lineRule="exact"/>
        <w:jc w:val="center"/>
        <w:textAlignment w:val="auto"/>
        <w:rPr>
          <w:rFonts w:hint="default" w:eastAsiaTheme="minorEastAsia"/>
          <w:b w:val="0"/>
          <w:bCs w:val="0"/>
          <w:spacing w:val="-6"/>
          <w:w w:val="80"/>
          <w:kern w:val="10"/>
          <w:sz w:val="13"/>
          <w:szCs w:val="13"/>
          <w:lang w:val="en-US" w:eastAsia="zh-CN"/>
        </w:rPr>
      </w:pPr>
      <w:r>
        <w:rPr>
          <w:rFonts w:hint="eastAsia"/>
          <w:b w:val="0"/>
          <w:bCs w:val="0"/>
          <w:spacing w:val="-6"/>
          <w:w w:val="80"/>
          <w:kern w:val="10"/>
          <w:sz w:val="13"/>
          <w:szCs w:val="13"/>
          <w:lang w:val="en-US" w:eastAsia="zh-CN"/>
        </w:rPr>
        <w:t>三副及其职责</w:t>
      </w:r>
    </w:p>
    <w:p w14:paraId="5DDDC9EE">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三副职责</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1.航行和停泊值班2.救生设备的管理3.消防设备管理4.培训职责与培训安排5.图表与规章张贴6.开航前准备7.靠离泊工作</w:t>
      </w:r>
    </w:p>
    <w:p w14:paraId="48F39C5B">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救生设备</w:t>
      </w:r>
      <w:r>
        <w:rPr>
          <w:rStyle w:val="5"/>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bidi="ar"/>
        </w:rPr>
        <w:t>配备要求</w:t>
      </w:r>
      <w:r>
        <w:rPr>
          <w:rStyle w:val="5"/>
          <w:rFonts w:hint="eastAsia" w:asciiTheme="minorEastAsia" w:hAnsiTheme="minorEastAsia" w:cstheme="minorEastAsia"/>
          <w:b w:val="0"/>
          <w:bCs w:val="0"/>
          <w:color w:val="auto"/>
          <w:spacing w:val="-6"/>
          <w:w w:val="80"/>
          <w:kern w:val="10"/>
          <w:sz w:val="13"/>
          <w:szCs w:val="13"/>
          <w:highlight w:val="none"/>
          <w:shd w:val="clear" w:color="FFFFFF" w:fill="D9D9D9"/>
          <w:lang w:val="en-US" w:eastAsia="zh-CN" w:bidi="ar"/>
        </w:rPr>
        <w:t>1</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VHF无线电话</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2</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雷达应答器3遇险火焰信号4救生圈5救生衣6救生艇</w:t>
      </w:r>
    </w:p>
    <w:p w14:paraId="30D6EC42">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三副从哪几方面作好航行值班？</w:t>
      </w:r>
      <w:r>
        <w:rPr>
          <w:rFonts w:hint="eastAsia" w:cstheme="minorBidi"/>
          <w:b w:val="0"/>
          <w:bCs w:val="0"/>
          <w:spacing w:val="-6"/>
          <w:w w:val="80"/>
          <w:kern w:val="10"/>
          <w:sz w:val="13"/>
          <w:szCs w:val="13"/>
          <w:lang w:val="en-US" w:eastAsia="zh-CN" w:bidi="ar-SA"/>
        </w:rPr>
        <w:t>1</w:t>
      </w:r>
      <w:r>
        <w:rPr>
          <w:rFonts w:hint="eastAsia" w:asciiTheme="minorHAnsi" w:hAnsiTheme="minorHAnsi" w:eastAsiaTheme="minorEastAsia" w:cstheme="minorBidi"/>
          <w:b w:val="0"/>
          <w:bCs w:val="0"/>
          <w:spacing w:val="-6"/>
          <w:w w:val="80"/>
          <w:kern w:val="10"/>
          <w:sz w:val="13"/>
          <w:szCs w:val="13"/>
          <w:lang w:val="en-US" w:eastAsia="zh-CN" w:bidi="ar-SA"/>
        </w:rPr>
        <w:t>要利用视觉、听觉等一切有效手段保持正规瞭望。</w:t>
      </w:r>
      <w:r>
        <w:rPr>
          <w:rFonts w:hint="eastAsia" w:cstheme="minorBidi"/>
          <w:b w:val="0"/>
          <w:bCs w:val="0"/>
          <w:spacing w:val="-6"/>
          <w:w w:val="80"/>
          <w:kern w:val="10"/>
          <w:sz w:val="13"/>
          <w:szCs w:val="13"/>
          <w:lang w:val="en-US" w:eastAsia="zh-CN" w:bidi="ar-SA"/>
        </w:rPr>
        <w:t>2</w:t>
      </w:r>
      <w:r>
        <w:rPr>
          <w:rFonts w:hint="eastAsia" w:asciiTheme="minorHAnsi" w:hAnsiTheme="minorHAnsi" w:eastAsiaTheme="minorEastAsia" w:cstheme="minorBidi"/>
          <w:b w:val="0"/>
          <w:bCs w:val="0"/>
          <w:spacing w:val="-6"/>
          <w:w w:val="80"/>
          <w:kern w:val="10"/>
          <w:sz w:val="13"/>
          <w:szCs w:val="13"/>
          <w:lang w:val="en-US" w:eastAsia="zh-CN" w:bidi="ar-SA"/>
        </w:rPr>
        <w:t xml:space="preserve"> 定期检查航行灯和信号灯，确保其正常工作。</w:t>
      </w:r>
      <w:r>
        <w:rPr>
          <w:rFonts w:hint="eastAsia" w:cstheme="minorBidi"/>
          <w:b w:val="0"/>
          <w:bCs w:val="0"/>
          <w:spacing w:val="-6"/>
          <w:w w:val="80"/>
          <w:kern w:val="10"/>
          <w:sz w:val="13"/>
          <w:szCs w:val="13"/>
          <w:lang w:val="en-US" w:eastAsia="zh-CN" w:bidi="ar-SA"/>
        </w:rPr>
        <w:t>3</w:t>
      </w:r>
      <w:r>
        <w:rPr>
          <w:rFonts w:hint="eastAsia" w:asciiTheme="minorHAnsi" w:hAnsiTheme="minorHAnsi" w:eastAsiaTheme="minorEastAsia" w:cstheme="minorBidi"/>
          <w:b w:val="0"/>
          <w:bCs w:val="0"/>
          <w:spacing w:val="-6"/>
          <w:w w:val="80"/>
          <w:kern w:val="10"/>
          <w:sz w:val="13"/>
          <w:szCs w:val="13"/>
          <w:lang w:val="en-US" w:eastAsia="zh-CN" w:bidi="ar-SA"/>
        </w:rPr>
        <w:t>注意雷达等助航设备的运行状况。</w:t>
      </w:r>
      <w:r>
        <w:rPr>
          <w:rFonts w:hint="eastAsia" w:cstheme="minorBidi"/>
          <w:b w:val="0"/>
          <w:bCs w:val="0"/>
          <w:spacing w:val="-6"/>
          <w:w w:val="80"/>
          <w:kern w:val="10"/>
          <w:sz w:val="13"/>
          <w:szCs w:val="13"/>
          <w:lang w:val="en-US" w:eastAsia="zh-CN" w:bidi="ar-SA"/>
        </w:rPr>
        <w:t>4</w:t>
      </w:r>
      <w:r>
        <w:rPr>
          <w:rFonts w:hint="eastAsia" w:asciiTheme="minorHAnsi" w:hAnsiTheme="minorHAnsi" w:eastAsiaTheme="minorEastAsia" w:cstheme="minorBidi"/>
          <w:b w:val="0"/>
          <w:bCs w:val="0"/>
          <w:spacing w:val="-6"/>
          <w:w w:val="80"/>
          <w:kern w:val="10"/>
          <w:sz w:val="13"/>
          <w:szCs w:val="13"/>
          <w:lang w:val="en-US" w:eastAsia="zh-CN" w:bidi="ar-SA"/>
        </w:rPr>
        <w:t>熟悉船舶的操纵性能。</w:t>
      </w:r>
      <w:r>
        <w:rPr>
          <w:rFonts w:hint="eastAsia" w:cstheme="minorBidi"/>
          <w:b w:val="0"/>
          <w:bCs w:val="0"/>
          <w:spacing w:val="-6"/>
          <w:w w:val="80"/>
          <w:kern w:val="10"/>
          <w:sz w:val="13"/>
          <w:szCs w:val="13"/>
          <w:lang w:val="en-US" w:eastAsia="zh-CN" w:bidi="ar-SA"/>
        </w:rPr>
        <w:t>5</w:t>
      </w:r>
      <w:r>
        <w:rPr>
          <w:rFonts w:hint="eastAsia" w:asciiTheme="minorHAnsi" w:hAnsiTheme="minorHAnsi" w:eastAsiaTheme="minorEastAsia" w:cstheme="minorBidi"/>
          <w:b w:val="0"/>
          <w:bCs w:val="0"/>
          <w:spacing w:val="-6"/>
          <w:w w:val="80"/>
          <w:kern w:val="10"/>
          <w:sz w:val="13"/>
          <w:szCs w:val="13"/>
          <w:lang w:val="en-US" w:eastAsia="zh-CN" w:bidi="ar-SA"/>
        </w:rPr>
        <w:t>严格遵守《国际海上避碰规则》</w:t>
      </w:r>
      <w:r>
        <w:rPr>
          <w:rFonts w:hint="eastAsia" w:cstheme="minorBidi"/>
          <w:b w:val="0"/>
          <w:bCs w:val="0"/>
          <w:spacing w:val="-6"/>
          <w:w w:val="80"/>
          <w:kern w:val="10"/>
          <w:sz w:val="13"/>
          <w:szCs w:val="13"/>
          <w:lang w:val="en-US" w:eastAsia="zh-CN" w:bidi="ar-SA"/>
        </w:rPr>
        <w:t>6</w:t>
      </w:r>
      <w:r>
        <w:rPr>
          <w:rFonts w:hint="eastAsia" w:asciiTheme="minorHAnsi" w:hAnsiTheme="minorHAnsi" w:eastAsiaTheme="minorEastAsia" w:cstheme="minorBidi"/>
          <w:b w:val="0"/>
          <w:bCs w:val="0"/>
          <w:spacing w:val="-6"/>
          <w:w w:val="80"/>
          <w:kern w:val="10"/>
          <w:sz w:val="13"/>
          <w:szCs w:val="13"/>
          <w:lang w:val="en-US" w:eastAsia="zh-CN" w:bidi="ar-SA"/>
        </w:rPr>
        <w:t>执行船舶的值班制度。</w:t>
      </w:r>
    </w:p>
    <w:p w14:paraId="26D65740">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假如你是一名三副，如何应对PSC检查？</w:t>
      </w:r>
    </w:p>
    <w:p w14:paraId="2625E218">
      <w:pPr>
        <w:pStyle w:val="2"/>
        <w:keepNext w:val="0"/>
        <w:keepLines w:val="0"/>
        <w:pageBreakBefore w:val="0"/>
        <w:widowControl/>
        <w:kinsoku/>
        <w:wordWrap/>
        <w:overflowPunct/>
        <w:topLinePunct w:val="0"/>
        <w:autoSpaceDE/>
        <w:autoSpaceDN/>
        <w:bidi w:val="0"/>
        <w:adjustRightInd/>
        <w:snapToGrid/>
        <w:spacing w:beforeAutospacing="0" w:afterAutospacing="0" w:line="130" w:lineRule="exact"/>
        <w:textAlignment w:val="auto"/>
        <w:rPr>
          <w:rFonts w:hint="eastAsia" w:asciiTheme="minorHAnsi" w:hAnsiTheme="minorHAnsi" w:eastAsiaTheme="minorEastAsia" w:cstheme="minorBidi"/>
          <w:b w:val="0"/>
          <w:bCs w:val="0"/>
          <w:spacing w:val="-6"/>
          <w:w w:val="80"/>
          <w:kern w:val="10"/>
          <w:sz w:val="13"/>
          <w:szCs w:val="13"/>
          <w:lang w:val="en-US" w:eastAsia="zh-CN" w:bidi="ar-SA"/>
        </w:rPr>
      </w:pPr>
      <w:r>
        <w:rPr>
          <w:rFonts w:hint="eastAsia" w:asciiTheme="minorHAnsi" w:hAnsiTheme="minorHAnsi" w:eastAsiaTheme="minorEastAsia" w:cstheme="minorBidi"/>
          <w:b w:val="0"/>
          <w:bCs w:val="0"/>
          <w:spacing w:val="-6"/>
          <w:w w:val="80"/>
          <w:kern w:val="10"/>
          <w:sz w:val="13"/>
          <w:szCs w:val="13"/>
          <w:lang w:val="en-US" w:eastAsia="zh-CN" w:bidi="ar-SA"/>
        </w:rPr>
        <w:t>首先，在日常工作中要做好充分准备。严格遵守各项国际公约和港口国的规定，确保船舶文件资料齐全，船舶证书、船员证书都要有效且随时可出示。还有航海日志、轮机日志等记录文件，记录要完整、准确，符合规范要求。在接到检查通知后，积极配合检查官的工作，及时提供他们需要的文件和信息。检查过程中，重点关注自己负责的部分。同时，要熟悉船上的应急程序。如果检查官询问关于应急部署、弃船演习等内容，能够准确回答，并且展示船上的演习记录等相关文件。</w:t>
      </w:r>
    </w:p>
    <w:p w14:paraId="720C5CD7">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港内值班</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1</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eastAsia="zh-CN"/>
        </w:rPr>
        <w:t>港内停泊时，船长应安排适当而有效值班</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2</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eastAsia="zh-CN"/>
        </w:rPr>
        <w:t>船长应根据停泊情况、船舶类型和值班特点，配备足够且具有熟练操作能力的值班船员，并安排好必要的设备</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3</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eastAsia="zh-CN"/>
        </w:rPr>
        <w:t>船舶在港内停泊期间值班安排应始终确保人命、船舶、货物、港口和环境的安全，确保所有与货物作业有关机械的操作安全；遵守有关国际公约，国家法规的规定和当地规定；保持船舶工作正常</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4</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eastAsia="zh-CN"/>
        </w:rPr>
        <w:t>停泊时甲板值班人员的组成，应至少包括一名值班驾驶员和一名值班水手</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5</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eastAsia="zh-CN"/>
        </w:rPr>
        <w:t>轮机长应与船长协商，保证轮机值班的安排足以保持安全的轮机值班。</w:t>
      </w:r>
    </w:p>
    <w:p w14:paraId="4E01CF99">
      <w:pPr>
        <w:keepNext w:val="0"/>
        <w:keepLines w:val="0"/>
        <w:pageBreakBefore w:val="0"/>
        <w:widowControl/>
        <w:kinsoku/>
        <w:wordWrap/>
        <w:overflowPunct/>
        <w:topLinePunct w:val="0"/>
        <w:autoSpaceDE/>
        <w:autoSpaceDN/>
        <w:bidi w:val="0"/>
        <w:adjustRightInd/>
        <w:snapToGrid/>
        <w:spacing w:line="130" w:lineRule="exact"/>
        <w:jc w:val="left"/>
        <w:textAlignment w:val="auto"/>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bidi="ar"/>
        </w:rPr>
        <w:t>港内驾驶员交接班中</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应核实那些事项?</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1</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系泊缆绳或者锚链是否恰当</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2</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正在装卸的有害或危险货物的性质，以及发生溢漏或者失火后应当采取的相应措施</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3</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本船悬挂的信号、显示的号灯号型以及鸣放的声号是否正确</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4</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各项安全措施和防火规定是否有效遵守</w:t>
      </w:r>
      <w:r>
        <w:rPr>
          <w:rFonts w:hint="eastAsia" w:asciiTheme="minorEastAsia" w:hAnsiTheme="minorEastAsia" w:cstheme="minorEastAsia"/>
          <w:b w:val="0"/>
          <w:bCs w:val="0"/>
          <w:color w:val="auto"/>
          <w:spacing w:val="-6"/>
          <w:w w:val="80"/>
          <w:kern w:val="10"/>
          <w:sz w:val="13"/>
          <w:szCs w:val="13"/>
          <w:highlight w:val="none"/>
          <w:shd w:val="clear" w:color="auto" w:fill="auto"/>
          <w:lang w:val="en-US" w:eastAsia="zh-CN"/>
        </w:rPr>
        <w:t>5</w:t>
      </w: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rPr>
        <w:t>是否存在危及本船的情况，以及本船是否危及其他船舶。</w:t>
      </w:r>
    </w:p>
    <w:p w14:paraId="271555A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sectPr>
      <w:pgSz w:w="16838" w:h="11906" w:orient="landscape"/>
      <w:pgMar w:top="1803" w:right="1440" w:bottom="1803" w:left="1440" w:header="851" w:footer="992" w:gutter="0"/>
      <w:paperSrc/>
      <w:cols w:space="2311" w:num="3"/>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6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2D2CBD"/>
    <w:rsid w:val="10B33874"/>
    <w:rsid w:val="2B2D2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2024-12-28T02:54:00Z</dcterms:created>
  <dc:creator>caoha</dc:creator>
  <cp:lastModifiedBy>caoha</cp:lastModifiedBy>
  <dcterms:modified xsi:type="dcterms:W3CDTF">2024-12-28T07:11:26Z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AFB138D72DB74EDEB8C58D3B6BFF14F1_11</vt:lpwstr>
  </property>
</Properties>
</file>