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AC5B4">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bookmarkStart w:id="0" w:name="_GoBack"/>
      <w:bookmarkEnd w:id="0"/>
    </w:p>
    <w:p w14:paraId="1EC91B34">
      <w:pPr>
        <w:ind w:left="1680" w:hanging="1680" w:hangingChars="8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七个职能块：  ⒈航行；⒉货物装卸和积载；⒊船舶作业管理和人员管理；⒋轮机工程</w:t>
      </w:r>
    </w:p>
    <w:p w14:paraId="3E47A390">
      <w:pPr>
        <w:ind w:firstLine="1470" w:firstLineChars="7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⒌电气、电子和控制工程；6.维护和修理；7.无线电通信。</w:t>
      </w:r>
    </w:p>
    <w:p w14:paraId="4300E220">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三个责任级别：管理级、操作级和支持级。</w:t>
      </w:r>
    </w:p>
    <w:p w14:paraId="4A31695C">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二副职责</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p>
    <w:p w14:paraId="09BA5777">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航行和停泊值班      </w:t>
      </w:r>
    </w:p>
    <w:p w14:paraId="0800EB58">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航海仪器管理        </w:t>
      </w:r>
    </w:p>
    <w:p w14:paraId="48DEA595">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航海图书资料管理    </w:t>
      </w:r>
    </w:p>
    <w:p w14:paraId="780F39BD">
      <w:pPr>
        <w:widowControl/>
        <w:numPr>
          <w:ilvl w:val="0"/>
          <w:numId w:val="0"/>
        </w:numPr>
        <w:ind w:left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p>
    <w:p w14:paraId="2126640B">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规则、图标张贴      </w:t>
      </w:r>
    </w:p>
    <w:p w14:paraId="74B51FCE">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开航前准备          </w:t>
      </w:r>
    </w:p>
    <w:p w14:paraId="4291679E">
      <w:pPr>
        <w:widowControl/>
        <w:numPr>
          <w:ilvl w:val="0"/>
          <w:numId w:val="1"/>
        </w:numPr>
        <w:ind w:left="425" w:leftChars="0" w:hanging="425" w:firstLineChars="0"/>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进出港、靠离移泊   </w:t>
      </w:r>
    </w:p>
    <w:p w14:paraId="3D6A01A5">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三副离船进行职务交接时，应注意交接下列各项：</w:t>
      </w:r>
    </w:p>
    <w:p w14:paraId="000AFB0E">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救生消防设备的分布、技术状况及有关清册；</w:t>
      </w:r>
    </w:p>
    <w:p w14:paraId="12AA05D7">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救生消防设备养护情况及有关记录；</w:t>
      </w:r>
    </w:p>
    <w:p w14:paraId="62C13C57">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救生消防设备待修、待检项目及正在修理检验的项目；</w:t>
      </w:r>
    </w:p>
    <w:p w14:paraId="3C60A673">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开航前救生消防设备的检查及其他准备工作的情况，如应急部署的编制等；</w:t>
      </w:r>
    </w:p>
    <w:p w14:paraId="45ED443E">
      <w:pPr>
        <w:widowControl/>
        <w:numPr>
          <w:ilvl w:val="0"/>
          <w:numId w:val="2"/>
        </w:numPr>
        <w:ind w:left="635" w:leftChars="0" w:hanging="425" w:firstLineChars="0"/>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本职工作所用工具、物品及库房钥匙；</w:t>
      </w:r>
    </w:p>
    <w:p w14:paraId="515C95E1">
      <w:pPr>
        <w:widowControl/>
        <w:numPr>
          <w:ilvl w:val="0"/>
          <w:numId w:val="0"/>
        </w:numPr>
        <w:ind w:firstLine="210" w:firstLineChars="100"/>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kern w:val="0"/>
          <w:sz w:val="21"/>
          <w:szCs w:val="21"/>
          <w:highlight w:val="none"/>
          <w:shd w:val="clear" w:color="auto" w:fill="auto"/>
          <w:lang w:val="en-US" w:eastAsia="zh-CN" w:bidi="ar"/>
        </w:rPr>
        <w:t>(6)</w:t>
      </w: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在港值班注意事项及船长、大副交办的事项。</w:t>
      </w:r>
    </w:p>
    <w:p w14:paraId="23C553B7">
      <w:pPr>
        <w:widowControl/>
        <w:jc w:val="left"/>
        <w:rPr>
          <w:rStyle w:val="5"/>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bCs/>
          <w:color w:val="auto"/>
          <w:sz w:val="21"/>
          <w:szCs w:val="21"/>
          <w:highlight w:val="none"/>
          <w:shd w:val="clear" w:color="auto" w:fill="auto"/>
        </w:rPr>
        <w:t>船舶安全管理的途径有哪些？IMO 是如何对船舶的安全实现监管的？</w:t>
      </w:r>
    </w:p>
    <w:p w14:paraId="72E64A3E">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1国际海事组织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2船旗国</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3港口国监控</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4船级社</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5行业组织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6公司和船舶</w:t>
      </w:r>
    </w:p>
    <w:p w14:paraId="36C18E49">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IMO的船舶安全管理途径是通过船旗国实施对船公司、船员、船舶的管辖；</w:t>
      </w:r>
    </w:p>
    <w:p w14:paraId="54545961">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通过船旗国政府验船机构，要求其授权的船级社加强对船舶建造和技术状况维持的控制；</w:t>
      </w:r>
    </w:p>
    <w:p w14:paraId="3936FB9B">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通过港口国对到港的外国船舶采取监控行动，来约束船旗国、船级社、船公司和船舶的安全管理效果；</w:t>
      </w:r>
    </w:p>
    <w:p w14:paraId="4AA2AACA">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通过影响使行业组织加强对本组织内船舶和船公司的安全管理。</w:t>
      </w:r>
    </w:p>
    <w:p w14:paraId="12D00CC5">
      <w:pPr>
        <w:rPr>
          <w:rFonts w:hint="eastAsia" w:ascii="Times New Roman" w:hAnsi="Times New Roman" w:eastAsia="宋体" w:cs="Times New Roman"/>
          <w:b/>
          <w:bCs/>
          <w:lang w:val="en-US" w:eastAsia="zh-CN"/>
        </w:rPr>
      </w:pPr>
      <w:r>
        <w:rPr>
          <w:rFonts w:hint="eastAsia" w:asciiTheme="minorEastAsia" w:hAnsiTheme="minorEastAsia" w:eastAsiaTheme="minorEastAsia" w:cstheme="minorEastAsia"/>
          <w:b w:val="0"/>
          <w:bCs w:val="0"/>
          <w:color w:val="auto"/>
          <w:spacing w:val="-6"/>
          <w:w w:val="80"/>
          <w:kern w:val="10"/>
          <w:sz w:val="13"/>
          <w:szCs w:val="13"/>
          <w:highlight w:val="none"/>
          <w:shd w:val="clear" w:color="auto" w:fill="auto"/>
          <w:lang w:val="en-US" w:eastAsia="zh-CN"/>
        </w:rPr>
        <w:t>4</w:t>
      </w:r>
      <w:r>
        <w:rPr>
          <w:rFonts w:hint="eastAsia" w:ascii="Times New Roman" w:hAnsi="Times New Roman" w:eastAsia="宋体" w:cs="Times New Roman"/>
          <w:b/>
          <w:bCs/>
          <w:lang w:val="en-US" w:eastAsia="zh-CN"/>
        </w:rPr>
        <w:t>专属经济区：是指领海以外并邻接领海的一个区域，从测算领海宽度的基线量起，不应超过200海里。地位：在此区域内沿海国拥有勘探、开发、养护和管理海床和底土及其上覆水域的自然资源的主权权利。</w:t>
      </w:r>
    </w:p>
    <w:p w14:paraId="76D10788">
      <w:pP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海峡：海峡是连接两个海洋之间的狭窄水道。海峡地位：如果海峡是两个国家陆地之间、或者岛屿与岛屿之间的海峡，并且两端连接的都是该国的领海，那么这个海峡属于该国的内水，该国对其拥有完全的主权</w:t>
      </w:r>
    </w:p>
    <w:p w14:paraId="0E6CCDAE">
      <w:pPr>
        <w:rPr>
          <w:rFonts w:hint="eastAsia" w:ascii="Times New Roman" w:hAnsi="Times New Roman" w:eastAsia="宋体" w:cs="Times New Roman"/>
          <w:b/>
          <w:bCs/>
          <w:lang w:val="en-US" w:eastAsia="zh-CN"/>
        </w:rPr>
      </w:pPr>
    </w:p>
    <w:p w14:paraId="39ED40EC">
      <w:pPr>
        <w:rPr>
          <w:rFonts w:hint="eastAsia" w:ascii="Times New Roman" w:hAnsi="Times New Roman" w:eastAsia="宋体" w:cs="Times New Roman"/>
          <w:b/>
          <w:bCs/>
          <w:lang w:val="en-US" w:eastAsia="zh-CN"/>
        </w:rPr>
      </w:pPr>
    </w:p>
    <w:p w14:paraId="02FA4B0E">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《港口国监督程序》中进行详细检查时的“明显理由”包括哪些内容？</w:t>
      </w:r>
    </w:p>
    <w:p w14:paraId="5A2C0591">
      <w:pPr>
        <w:pStyle w:val="2"/>
        <w:widowControl/>
        <w:spacing w:beforeAutospacing="0" w:afterAutospacing="0" w:line="360" w:lineRule="atLeast"/>
        <w:ind w:firstLine="42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⑴缺少公约要求的主要设备或设施；</w:t>
      </w:r>
    </w:p>
    <w:p w14:paraId="415CDA9B">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⑵对经查验表明一个或几个船上证书明显无效；</w:t>
      </w:r>
    </w:p>
    <w:p w14:paraId="076A2CDA">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⑶表明船上没有各种日志、手册或其他要求的文件，或这些文件未能保持或保持有误的证据；</w:t>
      </w:r>
    </w:p>
    <w:p w14:paraId="7A463CE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⑷PSC官员从总的印象和观察认为船舶存在船体或结构上的严重变形或缺陷，会危及船舶的结构、水密或水密完整性；</w:t>
      </w:r>
    </w:p>
    <w:p w14:paraId="6D173B9C">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⑸PSC官员从总的印象和观察认为船上安全、防止污染和航行设备存在严重缺陷和证据；</w:t>
      </w:r>
    </w:p>
    <w:p w14:paraId="0387CA9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⑹有关船长或船员不熟悉涉及船舶安全和防止污染的基本船上操作，或未执行这些操作的情报或证据；</w:t>
      </w:r>
    </w:p>
    <w:p w14:paraId="250A3A94">
      <w:pPr>
        <w:pStyle w:val="2"/>
        <w:widowControl/>
        <w:spacing w:beforeAutospacing="0" w:afterAutospacing="0" w:line="360" w:lineRule="atLeast"/>
        <w:ind w:left="390" w:right="36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⑺表明主要船员之间不能进行交流，或主要船员不能与船上其他人员进行交流的证据；</w:t>
      </w:r>
    </w:p>
    <w:p w14:paraId="3325B571">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⑻船上没有最新的应变部署表、火灾控制图计划，客船上没有损害控制计划；</w:t>
      </w:r>
    </w:p>
    <w:p w14:paraId="4DB09CB5">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⑼误发射遇险报警信号，未接着执行正确的取消程序；</w:t>
      </w:r>
    </w:p>
    <w:p w14:paraId="7D9078A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⑽收到的关于某船舶低于（安全、保安、防污染、劳工条件等）标准的举报</w:t>
      </w:r>
    </w:p>
    <w:p w14:paraId="29A518AB">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p>
    <w:p w14:paraId="6C0DD3B7">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★防治船舶及有关作业活动对海洋环境造成污染损害？</w:t>
      </w:r>
    </w:p>
    <w:p w14:paraId="729FFD5E">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①在中华人民共和国管辖海域，任何船舶及相关作业不得违反本法规定向海洋排放污染物，废弃物和压载水、船舶垃圾及其他有害物质。</w:t>
      </w:r>
    </w:p>
    <w:p w14:paraId="7B91461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②船舶必须按照有关规定持有防止海洋环境污染的证书和文书，在进行涉及污染物排放及操作时，应当如实记录。</w:t>
      </w:r>
    </w:p>
    <w:p w14:paraId="30B6521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③船舶必须配置相应的防污设备和器材。</w:t>
      </w:r>
    </w:p>
    <w:p w14:paraId="1F3F724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④船舶应当遵守海上交通安全法律、法规的规定，防止因碰撞、触礁、搁浅、火灾或者爆炸等引起的海难事故造成海洋环境的污染。</w:t>
      </w:r>
    </w:p>
    <w:p w14:paraId="3CFE60E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⑤国家完善并实施船舶油污损害民事赔偿责任制度。</w:t>
      </w:r>
    </w:p>
    <w:p w14:paraId="5BDD8DD1">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⑥载运具有污染危害性货物进出港口的船舶，其承运人、货物所有人或者代理人，必须事先向海事行政主管部门申报，经批准后方可进出港口、过境停留或者装卸作业。</w:t>
      </w:r>
    </w:p>
    <w:p w14:paraId="3C60D2DC">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⑦交付船舶装运污染危险性货物的单证、包装、标志、数量限制等，必须符合对所装货物的有关规定。</w:t>
      </w:r>
    </w:p>
    <w:p w14:paraId="3A9FF2D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⑧港口、码头、装卸站和船舶修造厂必须按照有关规定事先进行评估。</w:t>
      </w:r>
    </w:p>
    <w:p w14:paraId="2584B1F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⑨船舶发生海难事故，造成或可能造成海洋环境重大污染损害的，国家海事行政主管部门有权强制采取避免或者减少污染损害的措施。</w:t>
      </w:r>
    </w:p>
    <w:p w14:paraId="270C91A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⑩所有船舶均有监视海上污染的义务，发现海上污染事故或者违反本法规定的行为时，必须立即向就近的依照本法规定行使海洋环境监督管理权的部门报告。</w:t>
      </w:r>
    </w:p>
    <w:p w14:paraId="2C48760A">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加重海事行政处罚</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的情形</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造成较为严重后果或情节恶劣；一年内因同一海事行政违法行为受过海事行政处罚；胁迫、诱骗他人实施海事行政违法行为；伪造、隐匿、销毁海事行政违法行为证据；拒绝接受或阻挠海事管理机构实施监督管理；法律、行政法规规定应当从重处以海事行政处罚的其他情形。</w:t>
      </w:r>
    </w:p>
    <w:p w14:paraId="712CDA00">
      <w:pPr>
        <w:pStyle w:val="2"/>
        <w:widowControl/>
        <w:spacing w:beforeAutospacing="0" w:afterAutospacing="0" w:line="360" w:lineRule="atLeast"/>
        <w:rPr>
          <w:rFonts w:hint="eastAsia"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val="0"/>
          <w:bCs w:val="0"/>
          <w:color w:val="auto"/>
          <w:sz w:val="21"/>
          <w:szCs w:val="21"/>
          <w:highlight w:val="none"/>
          <w:shd w:val="clear" w:color="auto" w:fill="auto"/>
          <w:lang w:val="en-US" w:eastAsia="zh-CN"/>
        </w:rPr>
        <w:t>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安全监督</w:t>
      </w:r>
      <w:r>
        <w:rPr>
          <w:rFonts w:hint="eastAsia" w:asciiTheme="minorEastAsia" w:hAnsiTheme="minorEastAsia" w:cstheme="minorEastAsia"/>
          <w:b w:val="0"/>
          <w:bCs w:val="0"/>
          <w:color w:val="auto"/>
          <w:sz w:val="21"/>
          <w:szCs w:val="21"/>
          <w:highlight w:val="none"/>
          <w:shd w:val="clear" w:color="auto" w:fill="auto"/>
          <w:lang w:val="en-US" w:eastAsia="zh-CN"/>
        </w:rPr>
        <w:t>分为船舶现场监督和船舶安全检查;船舶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安全检查</w:t>
      </w:r>
      <w:r>
        <w:rPr>
          <w:rFonts w:hint="eastAsia" w:asciiTheme="minorEastAsia" w:hAnsiTheme="minorEastAsia" w:cstheme="minorEastAsia"/>
          <w:b w:val="0"/>
          <w:bCs w:val="0"/>
          <w:color w:val="auto"/>
          <w:sz w:val="21"/>
          <w:szCs w:val="21"/>
          <w:highlight w:val="none"/>
          <w:shd w:val="clear" w:color="auto" w:fill="auto"/>
          <w:lang w:val="en-US" w:eastAsia="zh-CN"/>
        </w:rPr>
        <w:t>分为船旗国监督检查和港口国监督检查;</w:t>
      </w:r>
    </w:p>
    <w:p w14:paraId="6EE6C4DF">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船舶对海洋环境污染的途径</w:t>
      </w:r>
    </w:p>
    <w:p w14:paraId="0AC93310">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操作性污染</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cstheme="minorEastAsia"/>
          <w:b w:val="0"/>
          <w:bCs w:val="0"/>
          <w:color w:val="auto"/>
          <w:sz w:val="21"/>
          <w:szCs w:val="21"/>
          <w:highlight w:val="none"/>
          <w:shd w:val="clear" w:color="auto" w:fill="auto"/>
          <w:lang w:val="en-US" w:eastAsia="zh-CN"/>
        </w:rPr>
        <w:t>1</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船舶营运过程中由于船员或货物装卸人员操作不当或相关系统的损坏导致的以外排放</w:t>
      </w:r>
      <w:r>
        <w:rPr>
          <w:rFonts w:hint="eastAsia" w:asciiTheme="minorEastAsia" w:hAnsiTheme="minorEastAsia" w:cstheme="minorEastAsia"/>
          <w:b w:val="0"/>
          <w:bCs w:val="0"/>
          <w:color w:val="auto"/>
          <w:sz w:val="21"/>
          <w:szCs w:val="21"/>
          <w:highlight w:val="none"/>
          <w:shd w:val="clear" w:color="auto" w:fill="auto"/>
          <w:lang w:val="en-US" w:eastAsia="zh-CN"/>
        </w:rPr>
        <w:t>2</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为船舶安全或救助海上人命的故意排放可看成特殊的操作性污染。包括操作性油污，散装有毒液体物质污染，操作性包装有害物质污染和操作性船舶生活污水污染和操作性船舶垃圾污染。</w:t>
      </w:r>
    </w:p>
    <w:p w14:paraId="03EAA8B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㈡海损事故性溢漏：</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船舶发生碰撞、搁浅、等严重海损事故，使所载的油类、散装有毒液体物质、包装有害物质等部分或全部溢入海中，造成了严重的海洋污染。</w:t>
      </w:r>
    </w:p>
    <w:p w14:paraId="20C31B39">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可引起溢漏的海损事故包括：触礁或搁浅；火灾或爆炸；碰撞、船壳破损、严重横倾等；以及操舵设备、推进器、供电系统、重要的船载导航设备等影响船舶适航性的机械和设备的损坏或故障，也是引起事故性溢油进而引发污染事故的原因。</w:t>
      </w:r>
    </w:p>
    <w:p w14:paraId="6BA70210">
      <w:pPr>
        <w:widowControl/>
        <w:jc w:val="left"/>
        <w:rPr>
          <w:rStyle w:val="5"/>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bCs/>
          <w:color w:val="auto"/>
          <w:sz w:val="21"/>
          <w:szCs w:val="21"/>
          <w:highlight w:val="none"/>
          <w:shd w:val="clear" w:color="auto" w:fill="auto"/>
        </w:rPr>
        <w:t>船舶安全管理的途径有哪些？IMO 是如何对船舶的安全实现监管的？</w:t>
      </w:r>
    </w:p>
    <w:p w14:paraId="3EFE83B4">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1国际海事组织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2船旗国</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3港口国监控</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4船级社</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5行业组织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6公司和船舶</w:t>
      </w:r>
    </w:p>
    <w:p w14:paraId="6CDA4BED">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IMO的船舶安全管理途径是通过船旗国实施对船公司、船员、船舶的管辖；</w:t>
      </w:r>
    </w:p>
    <w:p w14:paraId="287A6CDA">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通过船旗国政府验船机构，要求其授权的船级社加强对船舶建造和技术状况维持的控制；</w:t>
      </w:r>
    </w:p>
    <w:p w14:paraId="01E6D280">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通过港口国对到港的外国船舶采取监控行动，来约束船旗国、船级社、船公司和船舶的安全管理效果；</w:t>
      </w:r>
    </w:p>
    <w:p w14:paraId="46E7008C">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通过影响使行业组织加强对本组织内船舶和船公司的安全管理。</w:t>
      </w:r>
    </w:p>
    <w:p w14:paraId="1EEF0355">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三副职责1.航行和停泊值班2.救生设备的管理3.消防设备管理4.培训职责与培训安排5.图表与规章张贴6.开航前准备7.靠离泊工作</w:t>
      </w:r>
    </w:p>
    <w:p w14:paraId="7E59F05D">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救生设备配备要求1VHF无线电话2雷达应答器3遇险火焰信号4救生圈5救生衣6救生艇</w:t>
      </w:r>
    </w:p>
    <w:p w14:paraId="2AB7113E">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职能发证（7个职能块＋3个责任级别）</w:t>
      </w:r>
    </w:p>
    <w:p w14:paraId="620F512D">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p>
    <w:p w14:paraId="7EC9B4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790C8"/>
    <w:multiLevelType w:val="singleLevel"/>
    <w:tmpl w:val="008790C8"/>
    <w:lvl w:ilvl="0" w:tentative="0">
      <w:start w:val="1"/>
      <w:numFmt w:val="decimal"/>
      <w:lvlText w:val="(%1)"/>
      <w:lvlJc w:val="left"/>
      <w:pPr>
        <w:ind w:left="635" w:hanging="425"/>
      </w:pPr>
      <w:rPr>
        <w:rFonts w:hint="default"/>
      </w:rPr>
    </w:lvl>
  </w:abstractNum>
  <w:abstractNum w:abstractNumId="1">
    <w:nsid w:val="2B9AC729"/>
    <w:multiLevelType w:val="singleLevel"/>
    <w:tmpl w:val="2B9AC729"/>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172362"/>
    <w:rsid w:val="27172362"/>
    <w:rsid w:val="62451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3551</Words>
  <Characters>3598</Characters>
  <Lines>0</Lines>
  <Paragraphs>0</Paragraphs>
  <TotalTime>9</TotalTime>
  <ScaleCrop>false</ScaleCrop>
  <LinksUpToDate>false</LinksUpToDate>
  <CharactersWithSpaces>3717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2024-12-28T02:27:00Z</dcterms:created>
  <dc:creator>caoha</dc:creator>
  <cp:lastModifiedBy>caoha</cp:lastModifiedBy>
  <dcterms:modified xsi:type="dcterms:W3CDTF">2024-12-28T09:09:17Z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87E3176514334AA3A01DC4F519EB87AD_13</vt:lpwstr>
  </property>
</Properties>
</file>