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794C8">
      <w:pPr>
        <w:jc w:val="center"/>
      </w:pPr>
      <w:bookmarkStart w:id="0" w:name="_GoBack"/>
      <w:bookmarkEnd w:id="0"/>
      <w:r>
        <w:rPr>
          <w:rFonts w:ascii="Times New Roman" w:hAnsi="Times New Roman" w:eastAsia="宋体"/>
          <w:b/>
          <w:sz w:val="32"/>
        </w:rPr>
        <w:t>烟台大学毕业论文（设计） 开题报告</w:t>
      </w:r>
    </w:p>
    <w:p w14:paraId="58C44A84">
      <w:pPr>
        <w:jc w:val="center"/>
      </w:pPr>
      <w:r>
        <w:rPr>
          <w:rFonts w:ascii="Times New Roman" w:hAnsi="Times New Roman" w:eastAsia="宋体"/>
          <w:sz w:val="24"/>
        </w:rPr>
        <w:t>学院：海洋学院</w:t>
      </w:r>
    </w:p>
    <w:p w14:paraId="5A39251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938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DD6779E">
            <w:pPr>
              <w:spacing w:before="60" w:after="60" w:line="300" w:lineRule="auto"/>
              <w:jc w:val="center"/>
            </w:pPr>
            <w:r>
              <w:rPr>
                <w:rFonts w:ascii="Times New Roman" w:hAnsi="Times New Roman" w:eastAsia="宋体"/>
                <w:sz w:val="21"/>
              </w:rPr>
              <w:t>题目</w:t>
            </w:r>
          </w:p>
        </w:tc>
        <w:tc>
          <w:tcPr>
            <w:tcW w:w="6925" w:type="dxa"/>
            <w:gridSpan w:val="5"/>
          </w:tcPr>
          <w:p w14:paraId="6D0D594C">
            <w:pPr>
              <w:spacing w:before="60" w:after="60" w:line="300" w:lineRule="auto"/>
              <w:jc w:val="center"/>
            </w:pPr>
            <w:r>
              <w:rPr>
                <w:rFonts w:ascii="Times New Roman" w:hAnsi="Times New Roman" w:eastAsia="宋体"/>
                <w:b/>
                <w:sz w:val="21"/>
              </w:rPr>
              <w:t>大型FPU“S007”进港通航安全保障方案设计</w:t>
            </w:r>
          </w:p>
        </w:tc>
      </w:tr>
      <w:tr w14:paraId="7913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85" w:type="dxa"/>
          </w:tcPr>
          <w:p w14:paraId="5493B4A7">
            <w:pPr>
              <w:spacing w:before="60" w:after="60" w:line="300" w:lineRule="auto"/>
              <w:jc w:val="center"/>
            </w:pPr>
            <w:r>
              <w:rPr>
                <w:rFonts w:ascii="Times New Roman" w:hAnsi="Times New Roman" w:eastAsia="宋体"/>
                <w:sz w:val="21"/>
              </w:rPr>
              <w:t>姓名</w:t>
            </w:r>
          </w:p>
        </w:tc>
        <w:tc>
          <w:tcPr>
            <w:tcW w:w="1385" w:type="dxa"/>
          </w:tcPr>
          <w:p w14:paraId="7723020F">
            <w:pPr>
              <w:spacing w:before="60" w:after="60" w:line="300" w:lineRule="auto"/>
              <w:jc w:val="center"/>
            </w:pPr>
            <w:r>
              <w:rPr>
                <w:rFonts w:ascii="Times New Roman" w:hAnsi="Times New Roman" w:eastAsia="宋体"/>
                <w:sz w:val="21"/>
              </w:rPr>
              <w:t>贾宗冕</w:t>
            </w:r>
          </w:p>
        </w:tc>
        <w:tc>
          <w:tcPr>
            <w:tcW w:w="1385" w:type="dxa"/>
          </w:tcPr>
          <w:p w14:paraId="17D73305">
            <w:pPr>
              <w:spacing w:before="60" w:after="60" w:line="300" w:lineRule="auto"/>
              <w:jc w:val="center"/>
            </w:pPr>
            <w:r>
              <w:rPr>
                <w:rFonts w:ascii="Times New Roman" w:hAnsi="Times New Roman" w:eastAsia="宋体"/>
                <w:sz w:val="21"/>
              </w:rPr>
              <w:t>学号</w:t>
            </w:r>
          </w:p>
        </w:tc>
        <w:tc>
          <w:tcPr>
            <w:tcW w:w="1385" w:type="dxa"/>
          </w:tcPr>
          <w:p w14:paraId="14D78C9E">
            <w:pPr>
              <w:spacing w:before="60" w:after="60" w:line="300" w:lineRule="auto"/>
              <w:jc w:val="center"/>
            </w:pPr>
            <w:r>
              <w:rPr>
                <w:rFonts w:ascii="Times New Roman" w:hAnsi="Times New Roman" w:eastAsia="宋体"/>
                <w:sz w:val="21"/>
              </w:rPr>
              <w:t>202260503139</w:t>
            </w:r>
          </w:p>
        </w:tc>
        <w:tc>
          <w:tcPr>
            <w:tcW w:w="1385" w:type="dxa"/>
          </w:tcPr>
          <w:p w14:paraId="239B3D79">
            <w:pPr>
              <w:spacing w:before="60" w:after="60" w:line="300" w:lineRule="auto"/>
              <w:jc w:val="center"/>
            </w:pPr>
            <w:r>
              <w:rPr>
                <w:rFonts w:ascii="Times New Roman" w:hAnsi="Times New Roman" w:eastAsia="宋体"/>
                <w:sz w:val="21"/>
              </w:rPr>
              <w:t>专业</w:t>
            </w:r>
          </w:p>
        </w:tc>
        <w:tc>
          <w:tcPr>
            <w:tcW w:w="1385" w:type="dxa"/>
          </w:tcPr>
          <w:p w14:paraId="2F804405">
            <w:pPr>
              <w:spacing w:before="60" w:after="60" w:line="300" w:lineRule="auto"/>
              <w:jc w:val="center"/>
            </w:pPr>
            <w:r>
              <w:rPr>
                <w:rFonts w:ascii="Times New Roman" w:hAnsi="Times New Roman" w:eastAsia="宋体"/>
                <w:sz w:val="21"/>
              </w:rPr>
              <w:t>航海技术</w:t>
            </w:r>
          </w:p>
        </w:tc>
      </w:tr>
      <w:tr w14:paraId="044E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85" w:type="dxa"/>
          </w:tcPr>
          <w:p w14:paraId="04F600B2">
            <w:pPr>
              <w:spacing w:before="60" w:after="60" w:line="300" w:lineRule="auto"/>
              <w:jc w:val="center"/>
            </w:pPr>
            <w:r>
              <w:rPr>
                <w:rFonts w:ascii="Times New Roman" w:hAnsi="Times New Roman" w:eastAsia="宋体"/>
                <w:sz w:val="21"/>
              </w:rPr>
              <w:t>毕业届别</w:t>
            </w:r>
          </w:p>
        </w:tc>
        <w:tc>
          <w:tcPr>
            <w:tcW w:w="1385" w:type="dxa"/>
          </w:tcPr>
          <w:p w14:paraId="54C6A64C">
            <w:pPr>
              <w:spacing w:before="60" w:after="60" w:line="300" w:lineRule="auto"/>
              <w:jc w:val="center"/>
            </w:pPr>
            <w:r>
              <w:rPr>
                <w:rFonts w:ascii="Times New Roman" w:hAnsi="Times New Roman" w:eastAsia="宋体"/>
                <w:sz w:val="21"/>
              </w:rPr>
              <w:t>2026届</w:t>
            </w:r>
          </w:p>
        </w:tc>
        <w:tc>
          <w:tcPr>
            <w:tcW w:w="1385" w:type="dxa"/>
          </w:tcPr>
          <w:p w14:paraId="3FD8CFE5">
            <w:pPr>
              <w:spacing w:before="60" w:after="60" w:line="300" w:lineRule="auto"/>
              <w:jc w:val="center"/>
            </w:pPr>
            <w:r>
              <w:rPr>
                <w:rFonts w:ascii="Times New Roman" w:hAnsi="Times New Roman" w:eastAsia="宋体"/>
                <w:sz w:val="21"/>
              </w:rPr>
              <w:t>指导教师</w:t>
            </w:r>
          </w:p>
        </w:tc>
        <w:tc>
          <w:tcPr>
            <w:tcW w:w="1385" w:type="dxa"/>
          </w:tcPr>
          <w:p w14:paraId="55FBA464">
            <w:pPr>
              <w:spacing w:before="60" w:after="60" w:line="300" w:lineRule="auto"/>
              <w:jc w:val="center"/>
            </w:pPr>
            <w:r>
              <w:rPr>
                <w:rFonts w:ascii="Times New Roman" w:hAnsi="Times New Roman" w:eastAsia="宋体"/>
                <w:sz w:val="21"/>
              </w:rPr>
              <w:t>李法金</w:t>
            </w:r>
          </w:p>
        </w:tc>
        <w:tc>
          <w:tcPr>
            <w:tcW w:w="1385" w:type="dxa"/>
          </w:tcPr>
          <w:p w14:paraId="1BF69E1D">
            <w:pPr>
              <w:spacing w:before="60" w:after="60" w:line="300" w:lineRule="auto"/>
              <w:jc w:val="center"/>
            </w:pPr>
            <w:r>
              <w:rPr>
                <w:rFonts w:ascii="Times New Roman" w:hAnsi="Times New Roman" w:eastAsia="宋体"/>
                <w:sz w:val="21"/>
              </w:rPr>
              <w:t>职称</w:t>
            </w:r>
          </w:p>
        </w:tc>
        <w:tc>
          <w:tcPr>
            <w:tcW w:w="1385" w:type="dxa"/>
          </w:tcPr>
          <w:p w14:paraId="03E0C3F2">
            <w:pPr>
              <w:spacing w:before="60" w:after="60" w:line="300" w:lineRule="auto"/>
              <w:jc w:val="center"/>
            </w:pPr>
            <w:r>
              <w:rPr>
                <w:rFonts w:ascii="Times New Roman" w:hAnsi="Times New Roman" w:eastAsia="宋体"/>
                <w:sz w:val="21"/>
              </w:rPr>
              <w:t>讲师</w:t>
            </w:r>
          </w:p>
        </w:tc>
      </w:tr>
      <w:tr w14:paraId="6169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3B6D19B3">
            <w:pPr>
              <w:spacing w:before="60" w:after="60" w:line="300" w:lineRule="auto"/>
              <w:jc w:val="left"/>
            </w:pPr>
            <w:r>
              <w:rPr>
                <w:rFonts w:ascii="Times New Roman" w:hAnsi="Times New Roman" w:eastAsia="宋体"/>
                <w:sz w:val="21"/>
              </w:rPr>
              <w:t>一、研究的背景、目的和意义</w:t>
            </w:r>
          </w:p>
        </w:tc>
      </w:tr>
      <w:tr w14:paraId="29A8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53052F61">
            <w:pPr>
              <w:spacing w:before="60" w:after="60" w:line="300" w:lineRule="auto"/>
              <w:jc w:val="left"/>
            </w:pPr>
            <w:r>
              <w:rPr>
                <w:rFonts w:ascii="Times New Roman" w:hAnsi="Times New Roman" w:eastAsia="宋体"/>
                <w:sz w:val="21"/>
              </w:rPr>
              <w:t>1. 研究背景：</w:t>
            </w:r>
            <w:r>
              <w:rPr>
                <w:rFonts w:ascii="Times New Roman" w:hAnsi="Times New Roman" w:eastAsia="宋体"/>
                <w:sz w:val="21"/>
              </w:rPr>
              <w:br w:type="textWrapping"/>
            </w:r>
            <w:r>
              <w:rPr>
                <w:rFonts w:ascii="Times New Roman" w:hAnsi="Times New Roman" w:eastAsia="宋体"/>
                <w:sz w:val="21"/>
              </w:rPr>
              <w:t>大型FPU“S007”（浮式生产装置）是海洋工程领域的关键装备，其上部模块在青岛制造，船体在启东制造，经海上浮托安装整合后，需被湿拖至烟台中集来福士船厂10#码头进行最终整合。该拖带进港过程航程虽短（约6海里），但由于FPU属于无动力超大型海上设施，具有吃水深（达14.5米）、受风面积大（南北向受风面积超5800平米）、操纵受限等特点，且进港需经过烟台港北航道、西航道及来福士航道，通航环境复杂，对港口通航安全构成巨大挑战。</w:t>
            </w:r>
            <w:r>
              <w:rPr>
                <w:rFonts w:ascii="Times New Roman" w:hAnsi="Times New Roman" w:eastAsia="宋体"/>
                <w:sz w:val="21"/>
              </w:rPr>
              <w:br w:type="textWrapping"/>
            </w:r>
            <w:r>
              <w:rPr>
                <w:rFonts w:ascii="Times New Roman" w:hAnsi="Times New Roman" w:eastAsia="宋体"/>
                <w:sz w:val="21"/>
              </w:rPr>
              <w:br w:type="textWrapping"/>
            </w:r>
            <w:r>
              <w:rPr>
                <w:rFonts w:ascii="Times New Roman" w:hAnsi="Times New Roman" w:eastAsia="宋体"/>
                <w:sz w:val="21"/>
              </w:rPr>
              <w:t>2. 研究目的：</w:t>
            </w:r>
            <w:r>
              <w:rPr>
                <w:rFonts w:ascii="Times New Roman" w:hAnsi="Times New Roman" w:eastAsia="宋体"/>
                <w:sz w:val="21"/>
              </w:rPr>
              <w:br w:type="textWrapping"/>
            </w:r>
            <w:r>
              <w:rPr>
                <w:rFonts w:ascii="Times New Roman" w:hAnsi="Times New Roman" w:eastAsia="宋体"/>
                <w:sz w:val="21"/>
              </w:rPr>
              <w:t>本研究旨在根据FPU“S007”的特定尺度与操纵特性，结合烟台芝罘湾港区的气象、水文及通航环境，设计一套科学、可行的进港通航安全保障方案。通过分析进港过程中的通航风险，制定针对性的护航、警戒及应急措施，确保FPU能安全、高效地靠泊中集来福士10号码头，同时最大限度减少对港区其他交通流的影响。</w:t>
            </w:r>
            <w:r>
              <w:rPr>
                <w:rFonts w:ascii="Times New Roman" w:hAnsi="Times New Roman" w:eastAsia="宋体"/>
                <w:sz w:val="21"/>
              </w:rPr>
              <w:br w:type="textWrapping"/>
            </w:r>
            <w:r>
              <w:rPr>
                <w:rFonts w:ascii="Times New Roman" w:hAnsi="Times New Roman" w:eastAsia="宋体"/>
                <w:sz w:val="21"/>
              </w:rPr>
              <w:br w:type="textWrapping"/>
            </w:r>
            <w:r>
              <w:rPr>
                <w:rFonts w:ascii="Times New Roman" w:hAnsi="Times New Roman" w:eastAsia="宋体"/>
                <w:sz w:val="21"/>
              </w:rPr>
              <w:t>3. 研究意义：</w:t>
            </w:r>
            <w:r>
              <w:rPr>
                <w:rFonts w:ascii="Times New Roman" w:hAnsi="Times New Roman" w:eastAsia="宋体"/>
                <w:sz w:val="21"/>
              </w:rPr>
              <w:br w:type="textWrapping"/>
            </w:r>
            <w:r>
              <w:rPr>
                <w:rFonts w:ascii="Times New Roman" w:hAnsi="Times New Roman" w:eastAsia="宋体"/>
                <w:sz w:val="21"/>
              </w:rPr>
              <w:t>(1) 理论意义：丰富无动力大型海工设施在受限水域内的拖带与操纵理论，为同类超大型设施进出港提供理论依据。</w:t>
            </w:r>
            <w:r>
              <w:rPr>
                <w:rFonts w:ascii="Times New Roman" w:hAnsi="Times New Roman" w:eastAsia="宋体"/>
                <w:sz w:val="21"/>
              </w:rPr>
              <w:br w:type="textWrapping"/>
            </w:r>
            <w:r>
              <w:rPr>
                <w:rFonts w:ascii="Times New Roman" w:hAnsi="Times New Roman" w:eastAsia="宋体"/>
                <w:sz w:val="21"/>
              </w:rPr>
              <w:t>(2) 实践价值：直接服务于FPU“S007”项目，通过精确的风险评估和方案设计，预防搁浅、碰撞等水上交通事故，保障昂贵海工装备与港口设施的安全。</w:t>
            </w:r>
            <w:r>
              <w:rPr>
                <w:rFonts w:ascii="Times New Roman" w:hAnsi="Times New Roman" w:eastAsia="宋体"/>
                <w:sz w:val="21"/>
              </w:rPr>
              <w:br w:type="textWrapping"/>
            </w:r>
            <w:r>
              <w:rPr>
                <w:rFonts w:ascii="Times New Roman" w:hAnsi="Times New Roman" w:eastAsia="宋体"/>
                <w:sz w:val="21"/>
              </w:rPr>
              <w:t>(3) 经济效益：科学的通航方案能优化作业时间窗口，减少不必要的封航时间，提升港口运营效率。</w:t>
            </w:r>
          </w:p>
        </w:tc>
      </w:tr>
      <w:tr w14:paraId="59E4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76EAD482">
            <w:pPr>
              <w:spacing w:before="60" w:after="60" w:line="300" w:lineRule="auto"/>
              <w:jc w:val="left"/>
            </w:pPr>
            <w:r>
              <w:rPr>
                <w:rFonts w:ascii="Times New Roman" w:hAnsi="Times New Roman" w:eastAsia="宋体"/>
                <w:sz w:val="21"/>
              </w:rPr>
              <w:t>二、国内外文献综述</w:t>
            </w:r>
          </w:p>
        </w:tc>
      </w:tr>
      <w:tr w14:paraId="0103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2766CA7B">
            <w:pPr>
              <w:spacing w:before="60" w:after="60" w:line="300" w:lineRule="auto"/>
              <w:jc w:val="left"/>
            </w:pPr>
            <w:r>
              <w:rPr>
                <w:rFonts w:ascii="Times New Roman" w:hAnsi="Times New Roman" w:eastAsia="宋体"/>
                <w:sz w:val="21"/>
              </w:rPr>
              <w:t>1. 张强等在《大型无动力海工平台进港拖带操纵技术研究》中指出，对于受风面积巨大的FPU平台，风流压差是影响航迹保持的关键因素。文章通过分析多拖轮协作模式，提出了在横风条件下利用顶推拖轮抑制偏转的有效方法，这为本方案中7艘拖轮的配置提供了理论支撑。</w:t>
            </w:r>
            <w:r>
              <w:rPr>
                <w:rFonts w:ascii="Times New Roman" w:hAnsi="Times New Roman" w:eastAsia="宋体"/>
                <w:sz w:val="21"/>
              </w:rPr>
              <w:br w:type="textWrapping"/>
            </w:r>
            <w:r>
              <w:rPr>
                <w:rFonts w:ascii="Times New Roman" w:hAnsi="Times New Roman" w:eastAsia="宋体"/>
                <w:sz w:val="21"/>
              </w:rPr>
              <w:t>2. 王志军在《受限水域大型构件运输通航安全风险评估》一文中，利用层次分析法（AHP）对进港过程中的风险因子进行了权重分析，指出航道宽度不足和能见度不良是主要风险源，这与FPU“S007”进港面临的航道宽度限制高度吻合。</w:t>
            </w:r>
            <w:r>
              <w:rPr>
                <w:rFonts w:ascii="Times New Roman" w:hAnsi="Times New Roman" w:eastAsia="宋体"/>
                <w:sz w:val="21"/>
              </w:rPr>
              <w:br w:type="textWrapping"/>
            </w:r>
            <w:r>
              <w:rPr>
                <w:rFonts w:ascii="Times New Roman" w:hAnsi="Times New Roman" w:eastAsia="宋体"/>
                <w:sz w:val="21"/>
              </w:rPr>
              <w:t>3. 李明等在《基于船舶操纵模拟器的通航安全论证应用》中强调，对于特殊的超大型拖带作业，实船试验成本高、风险大，采用船舶操纵模拟器进行仿真试验是验证方案可行性的最佳手段。本研究引用的武汉理工大学及江苏海事职业技术学院的模拟试验数据正是基于此方法论。</w:t>
            </w:r>
            <w:r>
              <w:rPr>
                <w:rFonts w:ascii="Times New Roman" w:hAnsi="Times New Roman" w:eastAsia="宋体"/>
                <w:sz w:val="21"/>
              </w:rPr>
              <w:br w:type="textWrapping"/>
            </w:r>
            <w:r>
              <w:rPr>
                <w:rFonts w:ascii="Times New Roman" w:hAnsi="Times New Roman" w:eastAsia="宋体"/>
                <w:sz w:val="21"/>
              </w:rPr>
              <w:t>4. 陈伟在《烟台港芝罘湾港区通航环境演变及对策》中详细分析了烟台港西航道及北航道的交通流特征，指出客滚船与进出港大型设施的交汇风险，为本方案制定“避开客滚船高峰期”的交通组织策略提供了依据。</w:t>
            </w:r>
            <w:r>
              <w:rPr>
                <w:rFonts w:ascii="Times New Roman" w:hAnsi="Times New Roman" w:eastAsia="宋体"/>
                <w:sz w:val="21"/>
              </w:rPr>
              <w:br w:type="textWrapping"/>
            </w:r>
            <w:r>
              <w:rPr>
                <w:rFonts w:ascii="Times New Roman" w:hAnsi="Times New Roman" w:eastAsia="宋体"/>
                <w:sz w:val="21"/>
              </w:rPr>
              <w:t>5. 刘洋等在《海上大型拖带作业应急预案编制要素分析》中提到，完善的应急预案必须包含恶劣天气、断缆、失控等极端工况的应对程序。本研究将在此基础上，结合FPU“S007”的具体参数，制定包括防搁浅、防碰撞及人员落水在内的专项应急预案。</w:t>
            </w:r>
          </w:p>
        </w:tc>
      </w:tr>
      <w:tr w14:paraId="6668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0D80B220">
            <w:pPr>
              <w:spacing w:before="60" w:after="60" w:line="300" w:lineRule="auto"/>
              <w:jc w:val="left"/>
            </w:pPr>
            <w:r>
              <w:rPr>
                <w:rFonts w:ascii="Times New Roman" w:hAnsi="Times New Roman" w:eastAsia="宋体"/>
                <w:sz w:val="21"/>
              </w:rPr>
              <w:t>三、研究的主要内容和拟采用的研究方法</w:t>
            </w:r>
          </w:p>
        </w:tc>
      </w:tr>
      <w:tr w14:paraId="45AB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79122097">
            <w:pPr>
              <w:spacing w:before="60" w:after="60" w:line="300" w:lineRule="auto"/>
              <w:jc w:val="left"/>
            </w:pPr>
            <w:r>
              <w:rPr>
                <w:rFonts w:ascii="Times New Roman" w:hAnsi="Times New Roman" w:eastAsia="宋体"/>
                <w:sz w:val="21"/>
              </w:rPr>
              <w:t>1. 主要内容：</w:t>
            </w:r>
            <w:r>
              <w:rPr>
                <w:rFonts w:ascii="Times New Roman" w:hAnsi="Times New Roman" w:eastAsia="宋体"/>
                <w:sz w:val="21"/>
              </w:rPr>
              <w:br w:type="textWrapping"/>
            </w:r>
            <w:r>
              <w:rPr>
                <w:rFonts w:ascii="Times New Roman" w:hAnsi="Times New Roman" w:eastAsia="宋体"/>
                <w:sz w:val="21"/>
              </w:rPr>
              <w:t>(1) 通航环境与工程参数分析：详细调研烟台港北航道、西航道的水深、宽度、转向区设置，以及FPU“S007”的受风面积、盲区范围及拖航阻力特性。</w:t>
            </w:r>
            <w:r>
              <w:rPr>
                <w:rFonts w:ascii="Times New Roman" w:hAnsi="Times New Roman" w:eastAsia="宋体"/>
                <w:sz w:val="21"/>
              </w:rPr>
              <w:br w:type="textWrapping"/>
            </w:r>
            <w:r>
              <w:rPr>
                <w:rFonts w:ascii="Times New Roman" w:hAnsi="Times New Roman" w:eastAsia="宋体"/>
                <w:sz w:val="21"/>
              </w:rPr>
              <w:t>(2) 进港拖带方案设计：制定“1艘主拖+6艘辅助拖轮”的拖带编队方案，明确各航段（原第二报告线至20#浮、20#浮至港池、港池内旋回）的航速控制、船位保持及转向操纵要领。</w:t>
            </w:r>
            <w:r>
              <w:rPr>
                <w:rFonts w:ascii="Times New Roman" w:hAnsi="Times New Roman" w:eastAsia="宋体"/>
                <w:sz w:val="21"/>
              </w:rPr>
              <w:br w:type="textWrapping"/>
            </w:r>
            <w:r>
              <w:rPr>
                <w:rFonts w:ascii="Times New Roman" w:hAnsi="Times New Roman" w:eastAsia="宋体"/>
                <w:sz w:val="21"/>
              </w:rPr>
              <w:t>(3) 通航风险辨识与评估：分析自然条件（风、流、雾）对FPU操纵的影响，特别是航经22#浮转向进入主航道时的流压风险，以及与港内客滚船的交通冲突风险。</w:t>
            </w:r>
            <w:r>
              <w:rPr>
                <w:rFonts w:ascii="Times New Roman" w:hAnsi="Times New Roman" w:eastAsia="宋体"/>
                <w:sz w:val="21"/>
              </w:rPr>
              <w:br w:type="textWrapping"/>
            </w:r>
            <w:r>
              <w:rPr>
                <w:rFonts w:ascii="Times New Roman" w:hAnsi="Times New Roman" w:eastAsia="宋体"/>
                <w:sz w:val="21"/>
              </w:rPr>
              <w:t>(4) 安全保障与应急措施：制定进港期间的交通管制方案、警戒船布设方案，以及针对断缆、失控、搁浅等突发情况的应急预案。</w:t>
            </w:r>
            <w:r>
              <w:rPr>
                <w:rFonts w:ascii="Times New Roman" w:hAnsi="Times New Roman" w:eastAsia="宋体"/>
                <w:sz w:val="21"/>
              </w:rPr>
              <w:br w:type="textWrapping"/>
            </w:r>
            <w:r>
              <w:rPr>
                <w:rFonts w:ascii="Times New Roman" w:hAnsi="Times New Roman" w:eastAsia="宋体"/>
                <w:sz w:val="21"/>
              </w:rPr>
              <w:br w:type="textWrapping"/>
            </w:r>
            <w:r>
              <w:rPr>
                <w:rFonts w:ascii="Times New Roman" w:hAnsi="Times New Roman" w:eastAsia="宋体"/>
                <w:sz w:val="21"/>
              </w:rPr>
              <w:t>2. 研究方法：</w:t>
            </w:r>
            <w:r>
              <w:rPr>
                <w:rFonts w:ascii="Times New Roman" w:hAnsi="Times New Roman" w:eastAsia="宋体"/>
                <w:sz w:val="21"/>
              </w:rPr>
              <w:br w:type="textWrapping"/>
            </w:r>
            <w:r>
              <w:rPr>
                <w:rFonts w:ascii="Times New Roman" w:hAnsi="Times New Roman" w:eastAsia="宋体"/>
                <w:sz w:val="21"/>
              </w:rPr>
              <w:t>(1) 文献分析法：查阅相关海图、潮汐表及海事法规，获取基础数据。</w:t>
            </w:r>
            <w:r>
              <w:rPr>
                <w:rFonts w:ascii="Times New Roman" w:hAnsi="Times New Roman" w:eastAsia="宋体"/>
                <w:sz w:val="21"/>
              </w:rPr>
              <w:br w:type="textWrapping"/>
            </w:r>
            <w:r>
              <w:rPr>
                <w:rFonts w:ascii="Times New Roman" w:hAnsi="Times New Roman" w:eastAsia="宋体"/>
                <w:sz w:val="21"/>
              </w:rPr>
              <w:t>(2) 模拟仿真法：依托武汉理工大学航海模拟器实验室数据，对FPU在不同风流条件下的进港轨迹进行复盘分析，验证拖轮配置的合理性。</w:t>
            </w:r>
            <w:r>
              <w:rPr>
                <w:rFonts w:ascii="Times New Roman" w:hAnsi="Times New Roman" w:eastAsia="宋体"/>
                <w:sz w:val="21"/>
              </w:rPr>
              <w:br w:type="textWrapping"/>
            </w:r>
            <w:r>
              <w:rPr>
                <w:rFonts w:ascii="Times New Roman" w:hAnsi="Times New Roman" w:eastAsia="宋体"/>
                <w:sz w:val="21"/>
              </w:rPr>
              <w:t>(3) 理论计算法：计算FPU在不同风级下的风压力及拖航阻力，核算拖轮总拖力是否满足《海港总体设计规范》要求。</w:t>
            </w:r>
            <w:r>
              <w:rPr>
                <w:rFonts w:ascii="Times New Roman" w:hAnsi="Times New Roman" w:eastAsia="宋体"/>
                <w:sz w:val="21"/>
              </w:rPr>
              <w:br w:type="textWrapping"/>
            </w:r>
            <w:r>
              <w:rPr>
                <w:rFonts w:ascii="Times New Roman" w:hAnsi="Times New Roman" w:eastAsia="宋体"/>
                <w:sz w:val="21"/>
              </w:rPr>
              <w:t>(4) 案例分析法：参考类似大型海工设施进出烟台港的成功案例，总结经验教训。</w:t>
            </w:r>
            <w:r>
              <w:rPr>
                <w:rFonts w:ascii="Times New Roman" w:hAnsi="Times New Roman" w:eastAsia="宋体"/>
                <w:sz w:val="21"/>
              </w:rPr>
              <w:br w:type="textWrapping"/>
            </w:r>
            <w:r>
              <w:rPr>
                <w:rFonts w:ascii="Times New Roman" w:hAnsi="Times New Roman" w:eastAsia="宋体"/>
                <w:sz w:val="21"/>
              </w:rPr>
              <w:br w:type="textWrapping"/>
            </w:r>
            <w:r>
              <w:rPr>
                <w:rFonts w:ascii="Times New Roman" w:hAnsi="Times New Roman" w:eastAsia="宋体"/>
                <w:sz w:val="21"/>
              </w:rPr>
              <w:t>3. 技术路线图：</w:t>
            </w:r>
          </w:p>
          <w:p w14:paraId="34F3EAE6">
            <w:pPr>
              <w:spacing w:after="0" w:line="240" w:lineRule="auto"/>
              <w:jc w:val="center"/>
            </w:pPr>
            <w:r>
              <w:rPr>
                <w:rFonts w:ascii="Times New Roman" w:hAnsi="Times New Roman" w:eastAsia="宋体"/>
                <w:sz w:val="21"/>
              </w:rPr>
              <w:br w:type="textWrapping"/>
            </w:r>
            <w:r>
              <w:rPr>
                <w:rFonts w:ascii="Times New Roman" w:hAnsi="Times New Roman" w:eastAsia="宋体"/>
                <w:sz w:val="21"/>
              </w:rPr>
              <w:br w:type="textWrapping"/>
            </w:r>
            <w:r>
              <w:rPr>
                <w:rFonts w:ascii="Times New Roman" w:hAnsi="Times New Roman" w:eastAsia="宋体"/>
                <w:sz w:val="21"/>
              </w:rPr>
              <w:t>（此处预留位置：请生成后手动将技术路线图粘贴于此）</w:t>
            </w:r>
            <w:r>
              <w:rPr>
                <w:rFonts w:ascii="Times New Roman" w:hAnsi="Times New Roman" w:eastAsia="宋体"/>
                <w:sz w:val="21"/>
              </w:rPr>
              <w:br w:type="textWrapping"/>
            </w:r>
            <w:r>
              <w:rPr>
                <w:rFonts w:ascii="Times New Roman" w:hAnsi="Times New Roman" w:eastAsia="宋体"/>
                <w:sz w:val="21"/>
              </w:rPr>
              <w:br w:type="textWrapping"/>
            </w:r>
          </w:p>
        </w:tc>
      </w:tr>
      <w:tr w14:paraId="233B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5ADC47C2">
            <w:pPr>
              <w:spacing w:before="60" w:after="60" w:line="300" w:lineRule="auto"/>
              <w:jc w:val="left"/>
            </w:pPr>
            <w:r>
              <w:rPr>
                <w:rFonts w:ascii="Times New Roman" w:hAnsi="Times New Roman" w:eastAsia="宋体"/>
                <w:sz w:val="21"/>
              </w:rPr>
              <w:t>四、研究进度安排</w:t>
            </w:r>
          </w:p>
        </w:tc>
      </w:tr>
      <w:tr w14:paraId="2176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7C53ECA4">
            <w:pPr>
              <w:spacing w:before="60" w:after="60" w:line="300" w:lineRule="auto"/>
              <w:jc w:val="left"/>
            </w:pPr>
            <w:r>
              <w:rPr>
                <w:rFonts w:ascii="Times New Roman" w:hAnsi="Times New Roman" w:eastAsia="宋体"/>
                <w:sz w:val="21"/>
              </w:rPr>
              <w:t>1. 2025年11月28日前：接受任务书，明确设计要求，收集FPU“S007”项目资料及烟台港海图资料。</w:t>
            </w:r>
            <w:r>
              <w:rPr>
                <w:rFonts w:ascii="Times New Roman" w:hAnsi="Times New Roman" w:eastAsia="宋体"/>
                <w:sz w:val="21"/>
              </w:rPr>
              <w:br w:type="textWrapping"/>
            </w:r>
            <w:r>
              <w:rPr>
                <w:rFonts w:ascii="Times New Roman" w:hAnsi="Times New Roman" w:eastAsia="宋体"/>
                <w:sz w:val="21"/>
              </w:rPr>
              <w:t>2. 2025年12月1日-12月15日：进行文献查阅与初步调研，完成开题报告撰写与修改。</w:t>
            </w:r>
            <w:r>
              <w:rPr>
                <w:rFonts w:ascii="Times New Roman" w:hAnsi="Times New Roman" w:eastAsia="宋体"/>
                <w:sz w:val="21"/>
              </w:rPr>
              <w:br w:type="textWrapping"/>
            </w:r>
            <w:r>
              <w:rPr>
                <w:rFonts w:ascii="Times New Roman" w:hAnsi="Times New Roman" w:eastAsia="宋体"/>
                <w:sz w:val="21"/>
              </w:rPr>
              <w:t>3. 2025年12月16日-2026年3月27日：开展通航环境分析与风险评估，完成论文初稿，进行中期检查。</w:t>
            </w:r>
            <w:r>
              <w:rPr>
                <w:rFonts w:ascii="Times New Roman" w:hAnsi="Times New Roman" w:eastAsia="宋体"/>
                <w:sz w:val="21"/>
              </w:rPr>
              <w:br w:type="textWrapping"/>
            </w:r>
            <w:r>
              <w:rPr>
                <w:rFonts w:ascii="Times New Roman" w:hAnsi="Times New Roman" w:eastAsia="宋体"/>
                <w:sz w:val="21"/>
              </w:rPr>
              <w:t>4. 2026年3月28日-4月上旬：完善进港拖带方案细节，进行查重检测。</w:t>
            </w:r>
            <w:r>
              <w:rPr>
                <w:rFonts w:ascii="Times New Roman" w:hAnsi="Times New Roman" w:eastAsia="宋体"/>
                <w:sz w:val="21"/>
              </w:rPr>
              <w:br w:type="textWrapping"/>
            </w:r>
            <w:r>
              <w:rPr>
                <w:rFonts w:ascii="Times New Roman" w:hAnsi="Times New Roman" w:eastAsia="宋体"/>
                <w:sz w:val="21"/>
              </w:rPr>
              <w:t>5. 2026年4月中旬-5月上旬：根据指导教师及校内抽检意见修改论文，准备答辩PPT。</w:t>
            </w:r>
            <w:r>
              <w:rPr>
                <w:rFonts w:ascii="Times New Roman" w:hAnsi="Times New Roman" w:eastAsia="宋体"/>
                <w:sz w:val="21"/>
              </w:rPr>
              <w:br w:type="textWrapping"/>
            </w:r>
            <w:r>
              <w:rPr>
                <w:rFonts w:ascii="Times New Roman" w:hAnsi="Times New Roman" w:eastAsia="宋体"/>
                <w:sz w:val="21"/>
              </w:rPr>
              <w:t>6. 2026年5月中旬-6月上旬：完成论文评阅，参加毕业答辩。</w:t>
            </w:r>
          </w:p>
        </w:tc>
      </w:tr>
      <w:tr w14:paraId="3DC9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00CA85C0">
            <w:pPr>
              <w:spacing w:before="60" w:after="60" w:line="300" w:lineRule="auto"/>
              <w:jc w:val="left"/>
            </w:pPr>
            <w:r>
              <w:rPr>
                <w:rFonts w:ascii="Times New Roman" w:hAnsi="Times New Roman" w:eastAsia="宋体"/>
                <w:sz w:val="21"/>
              </w:rPr>
              <w:t>五、主要参考文献</w:t>
            </w:r>
          </w:p>
        </w:tc>
      </w:tr>
      <w:tr w14:paraId="5D25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4296C0B7">
            <w:pPr>
              <w:spacing w:before="60" w:after="60" w:line="300" w:lineRule="auto"/>
              <w:jc w:val="left"/>
            </w:pPr>
            <w:r>
              <w:rPr>
                <w:rFonts w:ascii="Times New Roman" w:hAnsi="Times New Roman" w:eastAsia="宋体"/>
                <w:sz w:val="21"/>
              </w:rPr>
              <w:t>[1] 张强, 李明. 大型无动力海工平台进港拖带操纵技术研究[J]. 航海技术, 2023(04): 15-18.</w:t>
            </w:r>
            <w:r>
              <w:rPr>
                <w:rFonts w:ascii="Times New Roman" w:hAnsi="Times New Roman" w:eastAsia="宋体"/>
                <w:sz w:val="21"/>
              </w:rPr>
              <w:br w:type="textWrapping"/>
            </w:r>
            <w:r>
              <w:rPr>
                <w:rFonts w:ascii="Times New Roman" w:hAnsi="Times New Roman" w:eastAsia="宋体"/>
                <w:sz w:val="21"/>
              </w:rPr>
              <w:t>[2] 王志军. 受限水域大型构件运输通航安全风险评估[D]. 大连海事大学, 2022.</w:t>
            </w:r>
            <w:r>
              <w:rPr>
                <w:rFonts w:ascii="Times New Roman" w:hAnsi="Times New Roman" w:eastAsia="宋体"/>
                <w:sz w:val="21"/>
              </w:rPr>
              <w:br w:type="textWrapping"/>
            </w:r>
            <w:r>
              <w:rPr>
                <w:rFonts w:ascii="Times New Roman" w:hAnsi="Times New Roman" w:eastAsia="宋体"/>
                <w:sz w:val="21"/>
              </w:rPr>
              <w:t>[3] 李明, 等. 基于船舶操纵模拟器的通航安全论证应用[J]. 中国水运, 2024, 24(01): 45-47.</w:t>
            </w:r>
            <w:r>
              <w:rPr>
                <w:rFonts w:ascii="Times New Roman" w:hAnsi="Times New Roman" w:eastAsia="宋体"/>
                <w:sz w:val="21"/>
              </w:rPr>
              <w:br w:type="textWrapping"/>
            </w:r>
            <w:r>
              <w:rPr>
                <w:rFonts w:ascii="Times New Roman" w:hAnsi="Times New Roman" w:eastAsia="宋体"/>
                <w:sz w:val="21"/>
              </w:rPr>
              <w:t>[4] 陈伟. 烟台港芝罘湾港区通航环境演变及对策[J]. 天津航海, 2023(02): 22-25.</w:t>
            </w:r>
            <w:r>
              <w:rPr>
                <w:rFonts w:ascii="Times New Roman" w:hAnsi="Times New Roman" w:eastAsia="宋体"/>
                <w:sz w:val="21"/>
              </w:rPr>
              <w:br w:type="textWrapping"/>
            </w:r>
            <w:r>
              <w:rPr>
                <w:rFonts w:ascii="Times New Roman" w:hAnsi="Times New Roman" w:eastAsia="宋体"/>
                <w:sz w:val="21"/>
              </w:rPr>
              <w:t>[5] 刘洋. 海上大型拖带作业应急预案编制要素分析[J]. 世界海运, 2022, 45(06): 30-33.</w:t>
            </w:r>
          </w:p>
        </w:tc>
      </w:tr>
      <w:tr w14:paraId="6161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7C7239B5">
            <w:pPr>
              <w:spacing w:before="60" w:after="60" w:line="300" w:lineRule="auto"/>
              <w:jc w:val="left"/>
            </w:pPr>
            <w:r>
              <w:rPr>
                <w:rFonts w:ascii="Times New Roman" w:hAnsi="Times New Roman" w:eastAsia="宋体"/>
                <w:b/>
                <w:sz w:val="21"/>
              </w:rPr>
              <w:t>指导教师意见：</w:t>
            </w:r>
          </w:p>
          <w:p w14:paraId="44D10370">
            <w:pPr>
              <w:spacing w:after="0" w:line="240" w:lineRule="auto"/>
            </w:pPr>
          </w:p>
          <w:p w14:paraId="7791B4FA">
            <w:pPr>
              <w:spacing w:after="0" w:line="240" w:lineRule="auto"/>
            </w:pPr>
          </w:p>
          <w:p w14:paraId="6EE96A03">
            <w:pPr>
              <w:spacing w:after="0" w:line="240" w:lineRule="auto"/>
            </w:pPr>
          </w:p>
          <w:p w14:paraId="7B874986">
            <w:pPr>
              <w:spacing w:after="0" w:line="240" w:lineRule="auto"/>
              <w:jc w:val="right"/>
            </w:pPr>
            <w:r>
              <w:rPr>
                <w:rFonts w:ascii="Times New Roman" w:hAnsi="Times New Roman" w:eastAsia="宋体"/>
              </w:rPr>
              <w:t xml:space="preserve">指导教师:                  2025年 12 月   日    </w:t>
            </w:r>
          </w:p>
        </w:tc>
      </w:tr>
      <w:tr w14:paraId="3801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0" w:type="dxa"/>
            <w:gridSpan w:val="6"/>
          </w:tcPr>
          <w:p w14:paraId="433A4912">
            <w:pPr>
              <w:spacing w:before="60" w:after="60" w:line="300" w:lineRule="auto"/>
              <w:jc w:val="left"/>
            </w:pPr>
            <w:r>
              <w:rPr>
                <w:rFonts w:ascii="Times New Roman" w:hAnsi="Times New Roman" w:eastAsia="宋体"/>
                <w:b/>
                <w:sz w:val="21"/>
              </w:rPr>
              <w:t>学院意见：</w:t>
            </w:r>
          </w:p>
          <w:p w14:paraId="4AFC0FC6">
            <w:pPr>
              <w:spacing w:after="0" w:line="240" w:lineRule="auto"/>
            </w:pPr>
          </w:p>
          <w:p w14:paraId="4DFE3948">
            <w:pPr>
              <w:spacing w:after="0" w:line="240" w:lineRule="auto"/>
            </w:pPr>
          </w:p>
          <w:p w14:paraId="2048DE93">
            <w:pPr>
              <w:spacing w:after="0" w:line="240" w:lineRule="auto"/>
              <w:jc w:val="right"/>
            </w:pPr>
            <w:r>
              <w:rPr>
                <w:rFonts w:ascii="Times New Roman" w:hAnsi="Times New Roman" w:eastAsia="宋体"/>
              </w:rPr>
              <w:t xml:space="preserve">系主任或教研室主任：                  2025年 12 月   日    </w:t>
            </w:r>
          </w:p>
        </w:tc>
      </w:tr>
    </w:tbl>
    <w:p w14:paraId="65A033F6"/>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E63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2055</Words>
  <Characters>2333</Characters>
  <Lines>0</Lines>
  <Paragraphs>0</Paragraphs>
  <TotalTime>0</TotalTime>
  <ScaleCrop>false</ScaleCrop>
  <LinksUpToDate>false</LinksUpToDate>
  <CharactersWithSpaces>2444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无常</cp:lastModifiedBy>
  <dcterms:modified xsi:type="dcterms:W3CDTF">2025-12-13T17:32:12Z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7D954C34195A4078B46BF9B8FC7D6668_13</vt:lpwstr>
  </property>
</Properties>
</file>