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06D48">
      <w:pPr>
        <w:jc w:val="center"/>
      </w:pPr>
      <w:r>
        <w:rPr>
          <w:rFonts w:ascii="Times New Roman" w:hAnsi="Times New Roman" w:eastAsia="宋体"/>
          <w:b/>
          <w:sz w:val="32"/>
        </w:rPr>
        <w:t>烟台大学毕业论文（设计） 开题报告</w:t>
      </w:r>
    </w:p>
    <w:p w14:paraId="22202AA1">
      <w:pPr>
        <w:jc w:val="center"/>
      </w:pPr>
      <w:r>
        <w:rPr>
          <w:rFonts w:ascii="Times New Roman" w:hAnsi="Times New Roman" w:eastAsia="宋体"/>
          <w:b w:val="0"/>
          <w:sz w:val="24"/>
        </w:rPr>
        <w:t>学院： 航海学院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134"/>
        <w:gridCol w:w="1701"/>
        <w:gridCol w:w="1134"/>
        <w:gridCol w:w="1701"/>
      </w:tblGrid>
      <w:tr w14:paraId="60ADD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64BD344">
            <w:pPr>
              <w:spacing w:after="0" w:line="240" w:lineRule="auto"/>
              <w:jc w:val="center"/>
            </w:pPr>
            <w:r>
              <w:rPr>
                <w:sz w:val="21"/>
              </w:rPr>
              <w:t>题目</w:t>
            </w:r>
          </w:p>
        </w:tc>
        <w:tc>
          <w:tcPr>
            <w:tcW w:w="7371" w:type="dxa"/>
            <w:gridSpan w:val="5"/>
          </w:tcPr>
          <w:p w14:paraId="20AE33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“NORSE WIND”轮大阪至温哥华航线设计</w:t>
            </w:r>
          </w:p>
        </w:tc>
      </w:tr>
      <w:tr w14:paraId="0BC2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2BC06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w="1701" w:type="dxa"/>
          </w:tcPr>
          <w:p w14:paraId="0CD287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曹海夺</w:t>
            </w:r>
          </w:p>
        </w:tc>
        <w:tc>
          <w:tcPr>
            <w:tcW w:w="1134" w:type="dxa"/>
          </w:tcPr>
          <w:p w14:paraId="796A0C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w="1701" w:type="dxa"/>
          </w:tcPr>
          <w:p w14:paraId="514469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202260503107</w:t>
            </w:r>
          </w:p>
        </w:tc>
        <w:tc>
          <w:tcPr>
            <w:tcW w:w="1134" w:type="dxa"/>
          </w:tcPr>
          <w:p w14:paraId="187012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专业</w:t>
            </w:r>
          </w:p>
        </w:tc>
        <w:tc>
          <w:tcPr>
            <w:tcW w:w="1701" w:type="dxa"/>
          </w:tcPr>
          <w:p w14:paraId="2D20A5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航海技术</w:t>
            </w:r>
          </w:p>
        </w:tc>
      </w:tr>
      <w:tr w14:paraId="21ED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A63E6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毕业届别</w:t>
            </w:r>
          </w:p>
        </w:tc>
        <w:tc>
          <w:tcPr>
            <w:tcW w:w="1701" w:type="dxa"/>
          </w:tcPr>
          <w:p w14:paraId="135297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2022级</w:t>
            </w:r>
          </w:p>
        </w:tc>
        <w:tc>
          <w:tcPr>
            <w:tcW w:w="1134" w:type="dxa"/>
          </w:tcPr>
          <w:p w14:paraId="045C9B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w="1701" w:type="dxa"/>
          </w:tcPr>
          <w:p w14:paraId="0CD200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滕英祥</w:t>
            </w:r>
          </w:p>
        </w:tc>
        <w:tc>
          <w:tcPr>
            <w:tcW w:w="1134" w:type="dxa"/>
          </w:tcPr>
          <w:p w14:paraId="19D5DF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职称</w:t>
            </w:r>
          </w:p>
        </w:tc>
        <w:tc>
          <w:tcPr>
            <w:tcW w:w="1701" w:type="dxa"/>
          </w:tcPr>
          <w:p w14:paraId="117772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副教授</w:t>
            </w:r>
          </w:p>
        </w:tc>
      </w:tr>
      <w:tr w14:paraId="4692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E2F37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研究的背景、目的和意义</w:t>
            </w:r>
          </w:p>
        </w:tc>
        <w:tc>
          <w:tcPr>
            <w:tcW w:w="7371" w:type="dxa"/>
            <w:gridSpan w:val="5"/>
          </w:tcPr>
          <w:p w14:paraId="748674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 研究背景：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随着全球经济重心的东移，跨太平洋航线已成为世界上最繁忙的海上运输通道之一。大阪港作为日本关西地区的核心枢纽，与加拿大温哥华港之间的贸易往来（主要涉及谷物、矿产及集装箱运输）日益频繁。“NORSE WIND”轮作为一艘在大洋上航行的主力船舶，其航线设计面临着北太平洋复杂气象条件（特别是冬季阿留申低压带来的狂风恶浪）以及国际海事组织（IMO）日益严苛的碳排放法规（EEXI/CII）的双重挑战。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2. 研究目的：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本研究旨在为“NORSE WIND”轮设计一条从日本大阪港至加拿大温哥华港的安全、经济且环保的推荐航线。通过对比大圆航法与恒向线航法的优劣，结合季节性气象数据（风、流、浪），利用电子海图显示与信息系统（ECDIS）进行模拟推演，制定出最佳航行计划，以确保船舶在满足预计到港时间（ETA）的前提下，实现燃油消耗最低和航行风险最小化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3. 研究意义：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(1) 提升安全性：北太平洋高纬度海区海况恶劣，科学的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sz w:val="21"/>
              </w:rPr>
              <w:t>航线设计能有效规避温带气旋和危险区域，保障人船货安全。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(2) 节能减排：在“双碳”背景下，通过气象航线优化（Weather Routing）减少无效航程和对抗风浪的燃油损耗，不仅降低营运成本，还能满足IMO碳强度指标（CII）的要求。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(3) 实践价值：本研究结合实船数据与真实海图资料，为跨太平洋船舶的航线制定提供可操作的参考模板。</w:t>
            </w:r>
          </w:p>
        </w:tc>
      </w:tr>
      <w:tr w14:paraId="3FF9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24D6A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国内外文献综述</w:t>
            </w:r>
          </w:p>
        </w:tc>
        <w:tc>
          <w:tcPr>
            <w:tcW w:w="7371" w:type="dxa"/>
            <w:gridSpan w:val="5"/>
          </w:tcPr>
          <w:p w14:paraId="7C89B1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 郭东东等在《智能船舶航线优化方法综述》中指出，传统的航线设计仅考虑静态地理信息已无法满足现代航运需求，文章详细分析了基于气象数据和油耗模型的动态航线优化算法，论证了在长距离跨洋航行中，引入气象定线技术可使船舶平均节油3%以上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2. 李元奎等在《A*与NSGA-II融合的船舶气象航线多目标规划方法》中，针对跨太平洋航线进行了深入研究。他们提出了一种多目标规划方法，通过仿真验证了该方法能有效帮助船舶躲避大风浪区域，并在航行时间和燃油消耗之间找到最佳平衡点，为北太平洋航线设计提供了新的算法思路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3. 李飞等在《能效管理中的船速优化》一文中探讨了船速与航线效益的关系。研究表明，在大阪至北美这类长航线中，单纯追求最短路径并非最优解，结合市场运费和油价波动进行的“经济航速”与“经济航线”联合设计，是提升船舶运营效益的关键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4. 郭亚娜等在《海洋风场对船舶航线影响研究》中专门分析了风场数据对航路点选择的影响。文章利用模拟退火算法对船舶航线进行动态调整，结果显示合理利用风向和风速（如顺风航行）可显著降低主机能耗，这对“NORSE WIND”轮在西风带盛行的北太平洋航行具有重要指导意义。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5. 陈显硕等在《船舶节能减排领域热点变化与碳减排技术趋势》中强调，航线优化管理是当前实现航运零碳排放的重要过渡手段。文章指出，通过建立高精度的航运模型来计算不同航线的碳排放量，将成为未来船舶航次计划书中的必须环节。</w:t>
            </w:r>
          </w:p>
        </w:tc>
      </w:tr>
      <w:tr w14:paraId="1BD64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90CE7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研究的主要内容和拟采用的研究方法</w:t>
            </w:r>
          </w:p>
        </w:tc>
        <w:tc>
          <w:tcPr>
            <w:tcW w:w="7371" w:type="dxa"/>
            <w:gridSpan w:val="5"/>
          </w:tcPr>
          <w:p w14:paraId="60D6B7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一、主要内容：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1. 航线地理环境分析：详细研究大阪港至温哥华港沿途的水文气象条件，重点分析黑潮（Kuroshio）、北太平洋流（North Pacific Current）的流向流速，以及阿留申低压对航行的季节性影响。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2. 航法比较与选择：分别计算大圆航线（Great Circle）与恒向线（Rhumb Line）的航程与特征，论证采用“混合航线”（Composite Sailing）以避开高纬度恶劣海况的必要性。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3. 航线设计实操：基于ECDIS系统，绘制具体的推荐航线，标注关键转向点（Waypoints）、避险区域及应急锚地。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4. 经济性与安全性评估：估算不同航线方案下的燃油消耗与碳排放量，并制定针对恶劣天气的应急预案。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二、研究方法：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1. 文献分析法：查阅《世界大洋航路》、《进港指南》及相关学术论文，获取航线设计所需的理论依据和数据支持。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2. 数学计算法：运用球面三角学公式计算大圆航程、恒向线航程及混合航线的转向点坐标。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3. 仿真模拟法：利用实验室ECDIS模拟器进行虚拟航行，检查航线的适航性（如水深、碍航物监测）。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4. 案例对比法：对比历史上同航线船舶的实际航行轨迹（AIS数据），优化本船的航线设计。</w:t>
            </w:r>
          </w:p>
        </w:tc>
      </w:tr>
      <w:tr w14:paraId="01FA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95AA8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研究进度安排</w:t>
            </w:r>
          </w:p>
        </w:tc>
        <w:tc>
          <w:tcPr>
            <w:tcW w:w="7371" w:type="dxa"/>
            <w:gridSpan w:val="5"/>
          </w:tcPr>
          <w:p w14:paraId="10E26D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 2025年3月1日-3月20日：确定选题，查阅大阪至温哥华航线的海图资料（如英版海图BA4803, BA4800等）及相关文献，完成开题报告。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2. 2025年3月21日-4月10日：完成航线地理环境分析，计算大圆航线与恒向线数据，初步拟定航路点。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3. 2025年4月11日-4月30日：在ECDIS上进行航线绘制与模拟验证，进行安全性与经济性评估，撰写论文初稿。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4. 2025年5月1日-5月15日：根据指导教师意见修改论文，完善格式，进行查重。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5. 2025年5月16日-6月1日：准备答辩PPT，完成毕业论文答辩。</w:t>
            </w:r>
          </w:p>
        </w:tc>
      </w:tr>
      <w:tr w14:paraId="6E7F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92162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主要参考文献</w:t>
            </w:r>
          </w:p>
        </w:tc>
        <w:tc>
          <w:tcPr>
            <w:tcW w:w="7371" w:type="dxa"/>
            <w:gridSpan w:val="5"/>
          </w:tcPr>
          <w:p w14:paraId="25D887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[1] 郭东东, 尹勇, 肖方兵. 智能船舶航线优化方法综述[J]. 中国舰船研究, 2023, 18(4): 151–161.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[2] 李元奎, 索基源, 于东冶, 等. A*与NSGA-II融合的船舶气象航线多目标规划方法[J]. 中国舰船研究, 2025, 20(3): 288–295.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[3] 李飞, 周锋, 李宁, 等. 能效管理中的船速优化[J]. 上海海事大学学报, 2019, 40(1): 18-22.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[4] 郭亚娜, 潘换弟. 海洋风场对船舶航线影响研究[J].舰船科学技术, 2019, 41(2): 67-70.</w:t>
            </w:r>
            <w:r>
              <w:rPr>
                <w:rFonts w:ascii="Times New Roman" w:hAnsi="Times New Roman" w:eastAsia="宋体"/>
                <w:b w:val="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[5] 陈显硕, 等. 船舶节能减排领域热点变化与碳减排技术趋势[J]. 中国航海, 2025(S1): 1-8.</w:t>
            </w:r>
          </w:p>
        </w:tc>
      </w:tr>
      <w:tr w14:paraId="1CA2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7581DFE">
            <w:pPr>
              <w:spacing w:after="0" w:line="240" w:lineRule="auto"/>
              <w:jc w:val="center"/>
            </w:pPr>
            <w:r>
              <w:t>指导教师意见：</w:t>
            </w:r>
          </w:p>
        </w:tc>
        <w:tc>
          <w:tcPr>
            <w:tcW w:w="7371" w:type="dxa"/>
            <w:gridSpan w:val="5"/>
          </w:tcPr>
          <w:p w14:paraId="65EF53D8">
            <w:pPr>
              <w:spacing w:after="0" w:line="240" w:lineRule="auto"/>
            </w:pPr>
          </w:p>
          <w:p w14:paraId="0DC0B11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</w:p>
          <w:p w14:paraId="1F68B9C4">
            <w:pPr>
              <w:spacing w:after="0" w:line="240" w:lineRule="auto"/>
              <w:jc w:val="right"/>
            </w:pPr>
            <w:r>
              <w:t>指导教师:                  2025年 2 月 28 日</w:t>
            </w:r>
          </w:p>
        </w:tc>
      </w:tr>
      <w:tr w14:paraId="7877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102C5C1">
            <w:pPr>
              <w:spacing w:after="0" w:line="240" w:lineRule="auto"/>
              <w:jc w:val="center"/>
            </w:pPr>
            <w:r>
              <w:t>学院意见：</w:t>
            </w:r>
          </w:p>
        </w:tc>
        <w:tc>
          <w:tcPr>
            <w:tcW w:w="7371" w:type="dxa"/>
            <w:gridSpan w:val="5"/>
          </w:tcPr>
          <w:p w14:paraId="31BB6651">
            <w:pPr>
              <w:spacing w:after="0" w:line="240" w:lineRule="auto"/>
            </w:pPr>
          </w:p>
          <w:p w14:paraId="1548969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</w:p>
          <w:p w14:paraId="40B07170">
            <w:pPr>
              <w:spacing w:after="0" w:line="240" w:lineRule="auto"/>
              <w:jc w:val="right"/>
            </w:pPr>
            <w:r>
              <w:t>系主任或教研室主任：                  2025年 3 月 1 日</w:t>
            </w:r>
          </w:p>
        </w:tc>
      </w:tr>
    </w:tbl>
    <w:p w14:paraId="4D16260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9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2050</Words>
  <Characters>2391</Characters>
  <Lines>0</Lines>
  <Paragraphs>0</Paragraphs>
  <TotalTime>5</TotalTime>
  <ScaleCrop>false</ScaleCrop>
  <LinksUpToDate>false</LinksUpToDate>
  <CharactersWithSpaces>2510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无常</cp:lastModifiedBy>
  <dcterms:modified xsi:type="dcterms:W3CDTF">2025-12-12T14:14:17Z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4828616CED1A47B78B5EA4D9F7C7C76D_13</vt:lpwstr>
  </property>
</Properties>
</file>