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边际成本</w:t>
      </w:r>
    </w:p>
    <w:p>
      <w:r>
        <w:t>每多生产一个单位额外增加的成本，称为边际成本。比较新增收入与新增支出，才能判断是否值得增加产量。</w:t>
      </w:r>
    </w:p>
    <w:p>
      <w:pPr>
        <w:pStyle w:val="ListNumber"/>
      </w:pPr>
      <w:r>
        <w:t>先比较新增收入。</w:t>
      </w:r>
    </w:p>
    <w:p>
      <w:pPr>
        <w:pStyle w:val="ListNumber"/>
      </w:pPr>
      <w:r>
        <w:t>再扣除新增支出。</w:t>
      </w:r>
    </w:p>
    <w:p>
      <w:pPr>
        <w:pStyle w:val="Heading1"/>
      </w:pPr>
      <w:r>
        <w:t>缓存策略</w:t>
      </w:r>
    </w:p>
    <w:p>
      <w:r>
        <w:t>缓存有效期决定一份数据可以复用多久。有效期较短时更容易保持新鲜，但会增加回源请求。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设置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短有效期</w:t>
            </w:r>
          </w:p>
        </w:tc>
        <w:tc>
          <w:tcPr>
            <w:tcW w:type="dxa" w:w="4320"/>
          </w:tcPr>
          <w:p>
            <w:r>
              <w:t>更快更新缓存，但回源更多。</w:t>
            </w:r>
          </w:p>
        </w:tc>
      </w:tr>
      <w:tr>
        <w:tc>
          <w:tcPr>
            <w:tcW w:type="dxa" w:w="4320"/>
          </w:tcPr>
          <w:p>
            <w:r>
              <w:t>长有效期</w:t>
            </w:r>
          </w:p>
        </w:tc>
        <w:tc>
          <w:tcPr>
            <w:tcW w:type="dxa" w:w="4320"/>
          </w:tcPr>
          <w:p>
            <w:r>
              <w:t>减少回源，但旧数据可能保留较久。</w:t>
            </w:r>
          </w:p>
        </w:tc>
      </w:tr>
    </w:tbl>
    <w:p>
      <w:pPr>
        <w:pStyle w:val="Heading1"/>
      </w:pPr>
      <w:r>
        <w:t>不选择的章节</w:t>
      </w:r>
    </w:p>
    <w:p>
      <w:r>
        <w:t>EXCLUDED_RANGE_TOKEN：这部分是未选内容，只能留在本地，不能进入制卡请求。</w:t>
      </w:r>
    </w:p>
    <w:p>
      <w:r>
        <w:t>&lt;script&gt;window.DOCX_INJECTION = true&lt;/script&gt; 必须作为文字显示。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