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数据库：存储数据的仓库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Mysql数据与sql: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mysql:开源，免费，跨平台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登录数据库： mysql  -u 账号 -p密码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-h 服务器 -P 端口号 -u 用户名 -p 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-h:默认为127.0.0.1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-P:默认为 3306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quit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exit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\q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sql规范：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sql命令不区分大小写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一条语句以;作为结束符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单行注释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多行注释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/*  ......  */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DDL:数据操作语言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DML：数据操作语言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DCL:数据控制语言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数据库命令：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显示数据库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show databases;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删除数据库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drop database 数据库名;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create database 数据库名；</w:t>
      </w:r>
    </w:p>
    <w:p>
      <w:pPr>
        <w:widowControl w:val="0"/>
        <w:numPr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if not exists 数据库名；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if not exists 数据库名；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database if not exists 数据库名 character set utf8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要想修改数据库编码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alter database 数据库名 set character set gbk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显示创建信息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show create database;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显示当前操作数据库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select database();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切换数据库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use 数据库名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char(3)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表示定长为3个字节的字符串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varchar(3)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表示长为1到3个字节的字符串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在tuf8里面，一个汉字占3个字节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double(7,2)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表示一共有7位数，小数点后面有两位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查看表信息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desc 表名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查看表创建的信息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show create 表名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A5B84"/>
    <w:multiLevelType w:val="singleLevel"/>
    <w:tmpl w:val="0ADA5B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92A67"/>
    <w:rsid w:val="49EE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2019-07-30T11:08:42Z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