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ARCANE LANGUAGE AUDIT — PHASE 1</w:t>
      </w:r>
    </w:p>
    <w:p>
      <w:r>
        <w:t>Architecture, grammar layers, and canon-preserving reconciliation</w:t>
      </w:r>
    </w:p>
    <w:p>
      <w:r>
        <w:t>Status: AUDIT FINDINGS / PROPOSED ORGANISATION. This document does not silently amend canon. Any new formal rule remains a proposal until tested and accepted.</w:t>
      </w:r>
    </w:p>
    <w:p>
      <w:pPr>
        <w:pStyle w:val="Heading1"/>
      </w:pPr>
      <w:r>
        <w:t>1. Executive finding</w:t>
      </w:r>
    </w:p>
    <w:p>
      <w:r>
        <w:t>The two grammar formulas do not necessarily conflict. Arcane v3.0-L describes the surface linguistic structure as HEAD + ARGUMENTS + MODIFIERS. The Magic System v3.0 describes a spell's operational specification as HEAD + CORE + PARAMETERS + CONSTRAINTS + CONTROL. These can be reconciled as different representational layers: one is how an expression is structured in the language; the other is how the parsed meaning is organised as a spell specification.</w:t>
      </w:r>
    </w:p>
    <w:p>
      <w:pPr>
        <w:pStyle w:val="Heading1"/>
      </w:pPr>
      <w:r>
        <w:t>2. Proposed layered architecture</w:t>
      </w:r>
    </w:p>
    <w:p>
      <w:pPr>
        <w:pStyle w:val="Heading2"/>
      </w:pPr>
      <w:r>
        <w:t>Layer 1 — Phonology and orthography</w:t>
      </w:r>
    </w:p>
    <w:p>
      <w:r>
        <w:t>How Arcane forms are pronounced, segmented, stressed and written. Existing phoneme inventory, syllable template and penultimate-stress rule belong here.</w:t>
      </w:r>
    </w:p>
    <w:p>
      <w:pPr>
        <w:pStyle w:val="Heading2"/>
      </w:pPr>
      <w:r>
        <w:t>Layer 2 — Morphology</w:t>
      </w:r>
    </w:p>
    <w:p>
      <w:r>
        <w:t>How word forms are built, if they are built from smaller meaningful parts. v3.0-L favours low morphology; the exact relationship to v2.0 frame–vowel–coda morphology remains unresolved.</w:t>
      </w:r>
    </w:p>
    <w:p>
      <w:pPr>
        <w:pStyle w:val="Heading2"/>
      </w:pPr>
      <w:r>
        <w:t>Layer 3 — Surface syntax</w:t>
      </w:r>
    </w:p>
    <w:p>
      <w:r>
        <w:t>The order in which words and phrases are spoken or written: HEAD + ARGUMENTS + MODIFIERS.</w:t>
      </w:r>
    </w:p>
    <w:p>
      <w:pPr>
        <w:pStyle w:val="Heading2"/>
      </w:pPr>
      <w:r>
        <w:t>Layer 4 — Parse structure</w:t>
      </w:r>
    </w:p>
    <w:p>
      <w:r>
        <w:t>The unambiguous tree recovered from the expression, including operator nesting, argument boundaries and modifier attachment. This is required by the Unique Parse Requirement but is not fully specified yet.</w:t>
      </w:r>
    </w:p>
    <w:p>
      <w:pPr>
        <w:pStyle w:val="Heading2"/>
      </w:pPr>
      <w:r>
        <w:t>Layer 5 — Typed semantics</w:t>
      </w:r>
    </w:p>
    <w:p>
      <w:r>
        <w:t>The meaning and type of each expression, including fixed arity, quantity types, references, control operators and information operators.</w:t>
      </w:r>
    </w:p>
    <w:p>
      <w:pPr>
        <w:pStyle w:val="Heading2"/>
      </w:pPr>
      <w:r>
        <w:t>Layer 6 — Spell specification</w:t>
      </w:r>
    </w:p>
    <w:p>
      <w:r>
        <w:t>The typed meaning is organised into the operational spell representation: HEAD + CORE + PARAMETERS + CONSTRAINTS + CONTROL.</w:t>
      </w:r>
    </w:p>
    <w:p>
      <w:pPr>
        <w:pStyle w:val="Heading2"/>
      </w:pPr>
      <w:r>
        <w:t>Layer 7 — Feasibility and execution</w:t>
      </w:r>
    </w:p>
    <w:p>
      <w:r>
        <w:t>The specification is checked against mana, coupling, energy, information, control, time/causality, stability and material constraints before execution.</w:t>
      </w:r>
    </w:p>
    <w:p>
      <w:pPr>
        <w:pStyle w:val="Heading1"/>
      </w:pPr>
      <w:r>
        <w:t>3. Mapping the two formulas</w:t>
      </w:r>
    </w:p>
    <w:tbl>
      <w:tblPr>
        <w:tblStyle w:val="TableGrid"/>
        <w:tblW w:type="auto" w:w="0"/>
        <w:tblLook w:firstColumn="1" w:firstRow="1" w:lastColumn="0" w:lastRow="0" w:noHBand="0" w:noVBand="1" w:val="04A0"/>
      </w:tblPr>
      <w:tblGrid>
        <w:gridCol w:w="3312"/>
        <w:gridCol w:w="3312"/>
        <w:gridCol w:w="3312"/>
      </w:tblGrid>
      <w:tr>
        <w:tc>
          <w:tcPr>
            <w:tcW w:type="dxa" w:w="3312"/>
          </w:tcPr>
          <w:p>
            <w:r>
              <w:t>Surface / linguistic role</w:t>
            </w:r>
          </w:p>
        </w:tc>
        <w:tc>
          <w:tcPr>
            <w:tcW w:type="dxa" w:w="3312"/>
          </w:tcPr>
          <w:p>
            <w:r>
              <w:t>Possible operational destination</w:t>
            </w:r>
          </w:p>
        </w:tc>
        <w:tc>
          <w:tcPr>
            <w:tcW w:type="dxa" w:w="3312"/>
          </w:tcPr>
          <w:p>
            <w:r>
              <w:t>Status</w:t>
            </w:r>
          </w:p>
        </w:tc>
      </w:tr>
      <w:tr>
        <w:tc>
          <w:tcPr>
            <w:tcW w:type="dxa" w:w="3312"/>
          </w:tcPr>
          <w:p>
            <w:r>
              <w:t>HEAD</w:t>
            </w:r>
          </w:p>
        </w:tc>
        <w:tc>
          <w:tcPr>
            <w:tcW w:type="dxa" w:w="3312"/>
          </w:tcPr>
          <w:p>
            <w:r>
              <w:t>Spell operation / operational head</w:t>
            </w:r>
          </w:p>
        </w:tc>
        <w:tc>
          <w:tcPr>
            <w:tcW w:type="dxa" w:w="3312"/>
          </w:tcPr>
          <w:p>
            <w:r>
              <w:t>Strong correspondence; exact mapping depends on operator.</w:t>
            </w:r>
          </w:p>
        </w:tc>
      </w:tr>
      <w:tr>
        <w:tc>
          <w:tcPr>
            <w:tcW w:type="dxa" w:w="3312"/>
          </w:tcPr>
          <w:p>
            <w:r>
              <w:t>ARGUMENTS</w:t>
            </w:r>
          </w:p>
        </w:tc>
        <w:tc>
          <w:tcPr>
            <w:tcW w:type="dxa" w:w="3312"/>
          </w:tcPr>
          <w:p>
            <w:r>
              <w:t>CORE and/or PARAMETERS</w:t>
            </w:r>
          </w:p>
        </w:tc>
        <w:tc>
          <w:tcPr>
            <w:tcW w:type="dxa" w:w="3312"/>
          </w:tcPr>
          <w:p>
            <w:r>
              <w:t>Context-dependent; arguments may describe the core operation or supply parameter values.</w:t>
            </w:r>
          </w:p>
        </w:tc>
      </w:tr>
      <w:tr>
        <w:tc>
          <w:tcPr>
            <w:tcW w:type="dxa" w:w="3312"/>
          </w:tcPr>
          <w:p>
            <w:r>
              <w:t>MODIFIERS</w:t>
            </w:r>
          </w:p>
        </w:tc>
        <w:tc>
          <w:tcPr>
            <w:tcW w:type="dxa" w:w="3312"/>
          </w:tcPr>
          <w:p>
            <w:r>
              <w:t>CONSTRAINTS and/or CONTROL, sometimes PARAMETERS</w:t>
            </w:r>
          </w:p>
        </w:tc>
        <w:tc>
          <w:tcPr>
            <w:tcW w:type="dxa" w:w="3312"/>
          </w:tcPr>
          <w:p>
            <w:r>
              <w:t>Context-dependent; a formal modifier taxonomy is missing.</w:t>
            </w:r>
          </w:p>
        </w:tc>
      </w:tr>
    </w:tbl>
    <w:p>
      <w:r>
        <w:t>Important: this mapping is a proposed bridge, not a claim that every modifier maps to exactly one operational slot. A typed parse should determine the destination based on the modifier's defined category and scope.</w:t>
      </w:r>
    </w:p>
    <w:p>
      <w:pPr>
        <w:pStyle w:val="Heading1"/>
      </w:pPr>
      <w:r>
        <w:t>4. What is canon and what is not</w:t>
      </w:r>
    </w:p>
    <w:p>
      <w:pPr>
        <w:pStyle w:val="ListBullet"/>
      </w:pPr>
      <w:r>
        <w:t>CANON: Arcane is a human-designed control language; language, spell and mana are distinct.</w:t>
      </w:r>
    </w:p>
    <w:p>
      <w:pPr>
        <w:pStyle w:val="ListBullet"/>
      </w:pPr>
      <w:r>
        <w:t>CANON: surface syntax is head-initial and described as HEAD + ARGUMENTS + MODIFIERS.</w:t>
      </w:r>
    </w:p>
    <w:p>
      <w:pPr>
        <w:pStyle w:val="ListBullet"/>
      </w:pPr>
      <w:r>
        <w:t>CANON: expressions are typed; core operators have fixed arity; executable expressions must have a unique parse.</w:t>
      </w:r>
    </w:p>
    <w:p>
      <w:pPr>
        <w:pStyle w:val="ListBullet"/>
      </w:pPr>
      <w:r>
        <w:t>CANON: spell construction must ultimately produce a physically valid specification and pass the relevant feasibility checks.</w:t>
      </w:r>
    </w:p>
    <w:p>
      <w:pPr>
        <w:pStyle w:val="ListBullet"/>
      </w:pPr>
      <w:r>
        <w:t>PROPOSED ORGANISATION: explicitly distinguish surface syntax, parse tree, typed semantics, spell specification and feasibility validation.</w:t>
      </w:r>
    </w:p>
    <w:p>
      <w:pPr>
        <w:pStyle w:val="ListBullet"/>
      </w:pPr>
      <w:r>
        <w:t>UNRESOLVED: exact grouping notation, argument-boundary rules, modifier attachment, nesting and spoken disambiguation.</w:t>
      </w:r>
    </w:p>
    <w:p>
      <w:pPr>
        <w:pStyle w:val="ListBullet"/>
      </w:pPr>
      <w:r>
        <w:t>UNRESOLVED: whether v2.0 morphology is retained, integrated as a productive sublayer, or retired. Do not decide without recovering its exact rules and examples.</w:t>
      </w:r>
    </w:p>
    <w:p>
      <w:pPr>
        <w:pStyle w:val="Heading1"/>
      </w:pPr>
      <w:r>
        <w:t>5. Required grammar decisions</w:t>
      </w:r>
    </w:p>
    <w:tbl>
      <w:tblPr>
        <w:tblStyle w:val="TableGrid"/>
        <w:tblW w:type="auto" w:w="0"/>
        <w:tblLook w:firstColumn="1" w:firstRow="1" w:lastColumn="0" w:lastRow="0" w:noHBand="0" w:noVBand="1" w:val="04A0"/>
      </w:tblPr>
      <w:tblGrid>
        <w:gridCol w:w="4968"/>
        <w:gridCol w:w="4968"/>
      </w:tblGrid>
      <w:tr>
        <w:tc>
          <w:tcPr>
            <w:tcW w:type="dxa" w:w="4968"/>
          </w:tcPr>
          <w:p>
            <w:r>
              <w:t>Decision ID</w:t>
            </w:r>
          </w:p>
        </w:tc>
        <w:tc>
          <w:tcPr>
            <w:tcW w:type="dxa" w:w="4968"/>
          </w:tcPr>
          <w:p>
            <w:r>
              <w:t>Question to resolve</w:t>
            </w:r>
          </w:p>
        </w:tc>
      </w:tr>
      <w:tr>
        <w:tc>
          <w:tcPr>
            <w:tcW w:type="dxa" w:w="4968"/>
          </w:tcPr>
          <w:p>
            <w:r>
              <w:t>G-01 — Argument boundaries</w:t>
            </w:r>
          </w:p>
        </w:tc>
        <w:tc>
          <w:tcPr>
            <w:tcW w:type="dxa" w:w="4968"/>
          </w:tcPr>
          <w:p>
            <w:r>
              <w:t>How does an expression mark where one argument ends and the next begins, especially when arguments contain nested expressions?</w:t>
            </w:r>
          </w:p>
        </w:tc>
      </w:tr>
      <w:tr>
        <w:tc>
          <w:tcPr>
            <w:tcW w:type="dxa" w:w="4968"/>
          </w:tcPr>
          <w:p>
            <w:r>
              <w:t>G-02 — Operator signatures</w:t>
            </w:r>
          </w:p>
        </w:tc>
        <w:tc>
          <w:tcPr>
            <w:tcW w:type="dxa" w:w="4968"/>
          </w:tcPr>
          <w:p>
            <w:r>
              <w:t>For every executable operator, specify input types, output type, arity, argument order and failure conditions.</w:t>
            </w:r>
          </w:p>
        </w:tc>
      </w:tr>
      <w:tr>
        <w:tc>
          <w:tcPr>
            <w:tcW w:type="dxa" w:w="4968"/>
          </w:tcPr>
          <w:p>
            <w:r>
              <w:t>G-03 — Modifier taxonomy</w:t>
            </w:r>
          </w:p>
        </w:tc>
        <w:tc>
          <w:tcPr>
            <w:tcW w:type="dxa" w:w="4968"/>
          </w:tcPr>
          <w:p>
            <w:r>
              <w:t>Define modifier classes such as parameter, constraint, temporal condition and control condition; specify which expression each modifies.</w:t>
            </w:r>
          </w:p>
        </w:tc>
      </w:tr>
      <w:tr>
        <w:tc>
          <w:tcPr>
            <w:tcW w:type="dxa" w:w="4968"/>
          </w:tcPr>
          <w:p>
            <w:r>
              <w:t>G-04 — Grouping and scope</w:t>
            </w:r>
          </w:p>
        </w:tc>
        <w:tc>
          <w:tcPr>
            <w:tcW w:type="dxa" w:w="4968"/>
          </w:tcPr>
          <w:p>
            <w:r>
              <w:t>Specify how nesting and modifier attachment are encoded in formal text and recoverable from performed speech.</w:t>
            </w:r>
          </w:p>
        </w:tc>
      </w:tr>
      <w:tr>
        <w:tc>
          <w:tcPr>
            <w:tcW w:type="dxa" w:w="4968"/>
          </w:tcPr>
          <w:p>
            <w:r>
              <w:t>G-05 — Optional arguments</w:t>
            </w:r>
          </w:p>
        </w:tc>
        <w:tc>
          <w:tcPr>
            <w:tcW w:type="dxa" w:w="4968"/>
          </w:tcPr>
          <w:p>
            <w:r>
              <w:t>Decide whether an operator's arguments are always fixed, or whether optional arguments must be represented by distinct operators or explicit option types.</w:t>
            </w:r>
          </w:p>
        </w:tc>
      </w:tr>
      <w:tr>
        <w:tc>
          <w:tcPr>
            <w:tcW w:type="dxa" w:w="4968"/>
          </w:tcPr>
          <w:p>
            <w:r>
              <w:t>G-06 — Failure semantics</w:t>
            </w:r>
          </w:p>
        </w:tc>
        <w:tc>
          <w:tcPr>
            <w:tcW w:type="dxa" w:w="4968"/>
          </w:tcPr>
          <w:p>
            <w:r>
              <w:t>Define what happens when syntax is valid but a type, reference, measurement or feasibility requirement fails.</w:t>
            </w:r>
          </w:p>
        </w:tc>
      </w:tr>
      <w:tr>
        <w:tc>
          <w:tcPr>
            <w:tcW w:type="dxa" w:w="4968"/>
          </w:tcPr>
          <w:p>
            <w:r>
              <w:t>G-07 — Morphology continuity</w:t>
            </w:r>
          </w:p>
        </w:tc>
        <w:tc>
          <w:tcPr>
            <w:tcW w:type="dxa" w:w="4968"/>
          </w:tcPr>
          <w:p>
            <w:r>
              <w:t>Recover v2.0 source material before changing or discarding frame–vowel–coda, h coupling, MEL anchoring, or KAN/KEN/KAS.</w:t>
            </w:r>
          </w:p>
        </w:tc>
      </w:tr>
    </w:tbl>
    <w:p>
      <w:pPr>
        <w:pStyle w:val="Heading1"/>
      </w:pPr>
      <w:r>
        <w:t>6. Initial acceptance tests</w:t>
      </w:r>
    </w:p>
    <w:p>
      <w:pPr>
        <w:pStyle w:val="ListBullet"/>
      </w:pPr>
      <w:r>
        <w:t>A valid expression with two arguments must have one parse tree.</w:t>
      </w:r>
    </w:p>
    <w:p>
      <w:pPr>
        <w:pStyle w:val="ListBullet"/>
      </w:pPr>
      <w:r>
        <w:t>A nested expression must not be confused with a flat sequence of words.</w:t>
      </w:r>
    </w:p>
    <w:p>
      <w:pPr>
        <w:pStyle w:val="ListBullet"/>
      </w:pPr>
      <w:r>
        <w:t>A modifier attached to a whole expression must be distinguishable from the same modifier attached to a child expression.</w:t>
      </w:r>
    </w:p>
    <w:p>
      <w:pPr>
        <w:pStyle w:val="ListBullet"/>
      </w:pPr>
      <w:r>
        <w:t>Reversing two ordered arguments must preserve the order in the parse tree.</w:t>
      </w:r>
    </w:p>
    <w:p>
      <w:pPr>
        <w:pStyle w:val="ListBullet"/>
      </w:pPr>
      <w:r>
        <w:t>A type-incompatible expression must fail deterministically rather than be guessed into validity.</w:t>
      </w:r>
    </w:p>
    <w:p>
      <w:pPr>
        <w:pStyle w:val="ListBullet"/>
      </w:pPr>
      <w:r>
        <w:t>A syntactically and semantically valid spell must still be allowed to fail physical feasibility checks; grammar cannot make an impossible mechanism possible.</w:t>
      </w:r>
    </w:p>
    <w:p>
      <w:pPr>
        <w:pStyle w:val="Heading1"/>
      </w:pPr>
      <w:r>
        <w:t>7. Audit conclusion</w:t>
      </w:r>
    </w:p>
    <w:p>
      <w:r>
        <w:t>The first reconciliation is straightforward: keep the two formulas, but assign them to different layers. The real unresolved work is the formal bridge between surface syntax and parse structure, plus complete signatures, grouping, scope and morphology continuity. The next audit stage should define a minimal formal expression notation and test it against the existing canonical vocabulary without inventing new lexical roots.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