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ARCANE LANGUAGE AUDIT — PHASE 2</w:t>
      </w:r>
    </w:p>
    <w:p>
      <w:r>
        <w:t>Formal syntax, operator signatures, and unique-parse validation</w:t>
      </w:r>
    </w:p>
    <w:p>
      <w:r>
        <w:t>Status: PROVISIONAL FORMALISATION. This document adds a proposed notation for testing; it does not overwrite canon or claim that the notation is already the spoken form of Arcane.</w:t>
      </w:r>
    </w:p>
    <w:p>
      <w:pPr>
        <w:pStyle w:val="Heading1"/>
      </w:pPr>
      <w:r>
        <w:t>1. Scope</w:t>
      </w:r>
    </w:p>
    <w:p>
      <w:r>
        <w:t>Phase 2 defines a temporary written metalanguage for expressing Arcane structure unambiguously. It uses the existing lexical roots and labels typed arguments explicitly where needed. The notation is a diagnostic scaffold, not new Arcane vocabulary.</w:t>
      </w:r>
    </w:p>
    <w:p>
      <w:pPr>
        <w:pStyle w:val="Heading1"/>
      </w:pPr>
      <w:r>
        <w:t>2. Proposed expression representation</w:t>
      </w:r>
    </w:p>
    <w:p>
      <w:r>
        <w:t>Provisional abstract form: OPERATOR⟨argument₁, argument₂, …⟩</w:t>
      </w:r>
    </w:p>
    <w:p>
      <w:r>
        <w:t>Example using existing roots: FRAPA⟨KI, TO⟩</w:t>
      </w:r>
    </w:p>
    <w:p>
      <w:r>
        <w:t>Reading for testing only: add the values represented by KI (1) and TO (2). The angle brackets and commas are audit notation, not established Arcane words.</w:t>
      </w:r>
    </w:p>
    <w:p>
      <w:r>
        <w:t>Nested example: FRAPA⟨KI, FRAPA⟨TO, MU⟩⟩</w:t>
      </w:r>
    </w:p>
    <w:p>
      <w:r>
        <w:t>This representation explicitly marks argument boundaries, preserves nesting, and does not rely on ordinary mathematical precedence.</w:t>
      </w:r>
    </w:p>
    <w:p>
      <w:pPr>
        <w:pStyle w:val="Heading1"/>
      </w:pPr>
      <w:r>
        <w:t>3. Core signature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Operator</w:t>
            </w:r>
          </w:p>
        </w:tc>
        <w:tc>
          <w:tcPr>
            <w:tcW w:type="dxa" w:w="1987"/>
          </w:tcPr>
          <w:p>
            <w:r>
              <w:t>Provisional input signature</w:t>
            </w:r>
          </w:p>
        </w:tc>
        <w:tc>
          <w:tcPr>
            <w:tcW w:type="dxa" w:w="1987"/>
          </w:tcPr>
          <w:p>
            <w:r>
              <w:t>Output</w:t>
            </w:r>
          </w:p>
        </w:tc>
        <w:tc>
          <w:tcPr>
            <w:tcW w:type="dxa" w:w="1987"/>
          </w:tcPr>
          <w:p>
            <w:r>
              <w:t>Arity</w:t>
            </w:r>
          </w:p>
        </w:tc>
        <w:tc>
          <w:tcPr>
            <w:tcW w:type="dxa" w:w="1987"/>
          </w:tcPr>
          <w:p>
            <w:r>
              <w:t>Confidence</w:t>
            </w:r>
          </w:p>
        </w:tc>
      </w:tr>
      <w:tr>
        <w:tc>
          <w:tcPr>
            <w:tcW w:type="dxa" w:w="1987"/>
          </w:tcPr>
          <w:p>
            <w:r>
              <w:t>FRAPA — add</w:t>
            </w:r>
          </w:p>
        </w:tc>
        <w:tc>
          <w:tcPr>
            <w:tcW w:type="dxa" w:w="1987"/>
          </w:tcPr>
          <w:p>
            <w:r>
              <w:t>Quantity × Quantity</w:t>
            </w:r>
          </w:p>
        </w:tc>
        <w:tc>
          <w:tcPr>
            <w:tcW w:type="dxa" w:w="1987"/>
          </w:tcPr>
          <w:p>
            <w:r>
              <w:t>Quantity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Provisional; quantity/unit compatibility needs rules</w:t>
            </w:r>
          </w:p>
        </w:tc>
      </w:tr>
      <w:tr>
        <w:tc>
          <w:tcPr>
            <w:tcW w:type="dxa" w:w="1987"/>
          </w:tcPr>
          <w:p>
            <w:r>
              <w:t>FRATA — subtract</w:t>
            </w:r>
          </w:p>
        </w:tc>
        <w:tc>
          <w:tcPr>
            <w:tcW w:type="dxa" w:w="1987"/>
          </w:tcPr>
          <w:p>
            <w:r>
              <w:t>Quantity × Quantity</w:t>
            </w:r>
          </w:p>
        </w:tc>
        <w:tc>
          <w:tcPr>
            <w:tcW w:type="dxa" w:w="1987"/>
          </w:tcPr>
          <w:p>
            <w:r>
              <w:t>Quantity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Provisional; operand order matters</w:t>
            </w:r>
          </w:p>
        </w:tc>
      </w:tr>
      <w:tr>
        <w:tc>
          <w:tcPr>
            <w:tcW w:type="dxa" w:w="1987"/>
          </w:tcPr>
          <w:p>
            <w:r>
              <w:t>FRAKA — multiply</w:t>
            </w:r>
          </w:p>
        </w:tc>
        <w:tc>
          <w:tcPr>
            <w:tcW w:type="dxa" w:w="1987"/>
          </w:tcPr>
          <w:p>
            <w:r>
              <w:t>Quantity × Quantity</w:t>
            </w:r>
          </w:p>
        </w:tc>
        <w:tc>
          <w:tcPr>
            <w:tcW w:type="dxa" w:w="1987"/>
          </w:tcPr>
          <w:p>
            <w:r>
              <w:t>Quantity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Provisional; dimensional algebra needed</w:t>
            </w:r>
          </w:p>
        </w:tc>
      </w:tr>
      <w:tr>
        <w:tc>
          <w:tcPr>
            <w:tcW w:type="dxa" w:w="1987"/>
          </w:tcPr>
          <w:p>
            <w:r>
              <w:t>FRALA — divide</w:t>
            </w:r>
          </w:p>
        </w:tc>
        <w:tc>
          <w:tcPr>
            <w:tcW w:type="dxa" w:w="1987"/>
          </w:tcPr>
          <w:p>
            <w:r>
              <w:t>Quantity × Quantity</w:t>
            </w:r>
          </w:p>
        </w:tc>
        <w:tc>
          <w:tcPr>
            <w:tcW w:type="dxa" w:w="1987"/>
          </w:tcPr>
          <w:p>
            <w:r>
              <w:t>Quantity or ratio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Provisional; zero denominator policy missing</w:t>
            </w:r>
          </w:p>
        </w:tc>
      </w:tr>
      <w:tr>
        <w:tc>
          <w:tcPr>
            <w:tcW w:type="dxa" w:w="1987"/>
          </w:tcPr>
          <w:p>
            <w:r>
              <w:t>FRASHA — negate</w:t>
            </w:r>
          </w:p>
        </w:tc>
        <w:tc>
          <w:tcPr>
            <w:tcW w:type="dxa" w:w="1987"/>
          </w:tcPr>
          <w:p>
            <w:r>
              <w:t>Numeric value</w:t>
            </w:r>
          </w:p>
        </w:tc>
        <w:tc>
          <w:tcPr>
            <w:tcW w:type="dxa" w:w="1987"/>
          </w:tcPr>
          <w:p>
            <w:r>
              <w:t>Numeric value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Provisional</w:t>
            </w:r>
          </w:p>
        </w:tc>
      </w:tr>
      <w:tr>
        <w:tc>
          <w:tcPr>
            <w:tcW w:type="dxa" w:w="1987"/>
          </w:tcPr>
          <w:p>
            <w:r>
              <w:t>DRAN — magnitude</w:t>
            </w:r>
          </w:p>
        </w:tc>
        <w:tc>
          <w:tcPr>
            <w:tcW w:type="dxa" w:w="1987"/>
          </w:tcPr>
          <w:p>
            <w:r>
              <w:t>Vector or magnitude-bearing value</w:t>
            </w:r>
          </w:p>
        </w:tc>
        <w:tc>
          <w:tcPr>
            <w:tcW w:type="dxa" w:w="1987"/>
          </w:tcPr>
          <w:p>
            <w:r>
              <w:t>Scalar magnitude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Provisional; supported input types need listing</w:t>
            </w:r>
          </w:p>
        </w:tc>
      </w:tr>
      <w:tr>
        <w:tc>
          <w:tcPr>
            <w:tcW w:type="dxa" w:w="1987"/>
          </w:tcPr>
          <w:p>
            <w:r>
              <w:t>DREM — dot product</w:t>
            </w:r>
          </w:p>
        </w:tc>
        <w:tc>
          <w:tcPr>
            <w:tcW w:type="dxa" w:w="1987"/>
          </w:tcPr>
          <w:p>
            <w:r>
              <w:t>Vector × Vector</w:t>
            </w:r>
          </w:p>
        </w:tc>
        <w:tc>
          <w:tcPr>
            <w:tcW w:type="dxa" w:w="1987"/>
          </w:tcPr>
          <w:p>
            <w:r>
              <w:t>Scalar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Provisional</w:t>
            </w:r>
          </w:p>
        </w:tc>
      </w:tr>
      <w:tr>
        <w:tc>
          <w:tcPr>
            <w:tcW w:type="dxa" w:w="1987"/>
          </w:tcPr>
          <w:p>
            <w:r>
              <w:t>DRIM — cross product</w:t>
            </w:r>
          </w:p>
        </w:tc>
        <w:tc>
          <w:tcPr>
            <w:tcW w:type="dxa" w:w="1987"/>
          </w:tcPr>
          <w:p>
            <w:r>
              <w:t>3D vector × 3D vector</w:t>
            </w:r>
          </w:p>
        </w:tc>
        <w:tc>
          <w:tcPr>
            <w:tcW w:type="dxa" w:w="1987"/>
          </w:tcPr>
          <w:p>
            <w:r>
              <w:t>3D vector</w:t>
            </w:r>
          </w:p>
        </w:tc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Provisional</w:t>
            </w:r>
          </w:p>
        </w:tc>
      </w:tr>
      <w:tr>
        <w:tc>
          <w:tcPr>
            <w:tcW w:type="dxa" w:w="1987"/>
          </w:tcPr>
          <w:p>
            <w:r>
              <w:t>DRAL — compare</w:t>
            </w:r>
          </w:p>
        </w:tc>
        <w:tc>
          <w:tcPr>
            <w:tcW w:type="dxa" w:w="1987"/>
          </w:tcPr>
          <w:p>
            <w:r>
              <w:t>Comparable value × Comparable value × relation criterion</w:t>
            </w:r>
          </w:p>
        </w:tc>
        <w:tc>
          <w:tcPr>
            <w:tcW w:type="dxa" w:w="1987"/>
          </w:tcPr>
          <w:p>
            <w:r>
              <w:t>Boolean/logic value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Partly grounded by canonical example; criterion encoding missing</w:t>
            </w:r>
          </w:p>
        </w:tc>
      </w:tr>
      <w:tr>
        <w:tc>
          <w:tcPr>
            <w:tcW w:type="dxa" w:w="1987"/>
          </w:tcPr>
          <w:p>
            <w:r>
              <w:t>SIMA — measure</w:t>
            </w:r>
          </w:p>
        </w:tc>
        <w:tc>
          <w:tcPr>
            <w:tcW w:type="dxa" w:w="1987"/>
          </w:tcPr>
          <w:p>
            <w:r>
              <w:t>Target/property + measurement pathway specification</w:t>
            </w:r>
          </w:p>
        </w:tc>
        <w:tc>
          <w:tcPr>
            <w:tcW w:type="dxa" w:w="1987"/>
          </w:tcPr>
          <w:p>
            <w:r>
              <w:t>Observation</w:t>
            </w:r>
          </w:p>
        </w:tc>
        <w:tc>
          <w:tcPr>
            <w:tcW w:type="dxa" w:w="1987"/>
          </w:tcPr>
          <w:p>
            <w:r>
              <w:t>At least 2 conceptually</w:t>
            </w:r>
          </w:p>
        </w:tc>
        <w:tc>
          <w:tcPr>
            <w:tcW w:type="dxa" w:w="1987"/>
          </w:tcPr>
          <w:p>
            <w:r>
              <w:t>Exact surface arity unresolved</w:t>
            </w:r>
          </w:p>
        </w:tc>
      </w:tr>
      <w:tr>
        <w:tc>
          <w:tcPr>
            <w:tcW w:type="dxa" w:w="1987"/>
          </w:tcPr>
          <w:p>
            <w:r>
              <w:t>NES — read</w:t>
            </w:r>
          </w:p>
        </w:tc>
        <w:tc>
          <w:tcPr>
            <w:tcW w:type="dxa" w:w="1987"/>
          </w:tcPr>
          <w:p>
            <w:r>
              <w:t>Available information reference</w:t>
            </w:r>
          </w:p>
        </w:tc>
        <w:tc>
          <w:tcPr>
            <w:tcW w:type="dxa" w:w="1987"/>
          </w:tcPr>
          <w:p>
            <w:r>
              <w:t>Retrieved information</w:t>
            </w:r>
          </w:p>
        </w:tc>
        <w:tc>
          <w:tcPr>
            <w:tcW w:type="dxa" w:w="1987"/>
          </w:tcPr>
          <w:p>
            <w:r>
              <w:t>At least 1 conceptually</w:t>
            </w:r>
          </w:p>
        </w:tc>
        <w:tc>
          <w:tcPr>
            <w:tcW w:type="dxa" w:w="1987"/>
          </w:tcPr>
          <w:p>
            <w:r>
              <w:t>Exact signature unresolved</w:t>
            </w:r>
          </w:p>
        </w:tc>
      </w:tr>
      <w:tr>
        <w:tc>
          <w:tcPr>
            <w:tcW w:type="dxa" w:w="1987"/>
          </w:tcPr>
          <w:p>
            <w:r>
              <w:t>GAMA — assign</w:t>
            </w:r>
          </w:p>
        </w:tc>
        <w:tc>
          <w:tcPr>
            <w:tcW w:type="dxa" w:w="1987"/>
          </w:tcPr>
          <w:p>
            <w:r>
              <w:t>Destination/reference × value</w:t>
            </w:r>
          </w:p>
        </w:tc>
        <w:tc>
          <w:tcPr>
            <w:tcW w:type="dxa" w:w="1987"/>
          </w:tcPr>
          <w:p>
            <w:r>
              <w:t>Updated symbolic state or assignment</w:t>
            </w:r>
          </w:p>
        </w:tc>
        <w:tc>
          <w:tcPr>
            <w:tcW w:type="dxa" w:w="1987"/>
          </w:tcPr>
          <w:p>
            <w:r>
              <w:t>2 conceptually</w:t>
            </w:r>
          </w:p>
        </w:tc>
        <w:tc>
          <w:tcPr>
            <w:tcW w:type="dxa" w:w="1987"/>
          </w:tcPr>
          <w:p>
            <w:r>
              <w:t>Must not be treated as physical causation</w:t>
            </w:r>
          </w:p>
        </w:tc>
      </w:tr>
      <w:tr>
        <w:tc>
          <w:tcPr>
            <w:tcW w:type="dxa" w:w="1987"/>
          </w:tcPr>
          <w:p>
            <w:r>
              <w:t>DAVE — infer</w:t>
            </w:r>
          </w:p>
        </w:tc>
        <w:tc>
          <w:tcPr>
            <w:tcW w:type="dxa" w:w="1987"/>
          </w:tcPr>
          <w:p>
            <w:r>
              <w:t>Evidence × inference model/rule</w:t>
            </w:r>
          </w:p>
        </w:tc>
        <w:tc>
          <w:tcPr>
            <w:tcW w:type="dxa" w:w="1987"/>
          </w:tcPr>
          <w:p>
            <w:r>
              <w:t>Hypothesis or inferred value</w:t>
            </w:r>
          </w:p>
        </w:tc>
        <w:tc>
          <w:tcPr>
            <w:tcW w:type="dxa" w:w="1987"/>
          </w:tcPr>
          <w:p>
            <w:r>
              <w:t>At least 2 conceptually</w:t>
            </w:r>
          </w:p>
        </w:tc>
        <w:tc>
          <w:tcPr>
            <w:tcW w:type="dxa" w:w="1987"/>
          </w:tcPr>
          <w:p>
            <w:r>
              <w:t>Exact signature unresolved</w:t>
            </w:r>
          </w:p>
        </w:tc>
      </w:tr>
      <w:tr>
        <w:tc>
          <w:tcPr>
            <w:tcW w:type="dxa" w:w="1987"/>
          </w:tcPr>
          <w:p>
            <w:r>
              <w:t>KWAM — bind</w:t>
            </w:r>
          </w:p>
        </w:tc>
        <w:tc>
          <w:tcPr>
            <w:tcW w:type="dxa" w:w="1987"/>
          </w:tcPr>
          <w:p>
            <w:r>
              <w:t>Binding identifier × expression</w:t>
            </w:r>
          </w:p>
        </w:tc>
        <w:tc>
          <w:tcPr>
            <w:tcW w:type="dxa" w:w="1987"/>
          </w:tcPr>
          <w:p>
            <w:r>
              <w:t>Binding declaration</w:t>
            </w:r>
          </w:p>
        </w:tc>
        <w:tc>
          <w:tcPr>
            <w:tcW w:type="dxa" w:w="1987"/>
          </w:tcPr>
          <w:p>
            <w:r>
              <w:t>2 conceptually</w:t>
            </w:r>
          </w:p>
        </w:tc>
        <w:tc>
          <w:tcPr>
            <w:tcW w:type="dxa" w:w="1987"/>
          </w:tcPr>
          <w:p>
            <w:r>
              <w:t>Identifier representation unresolved</w:t>
            </w:r>
          </w:p>
        </w:tc>
      </w:tr>
      <w:tr>
        <w:tc>
          <w:tcPr>
            <w:tcW w:type="dxa" w:w="1987"/>
          </w:tcPr>
          <w:p>
            <w:r>
              <w:t>KWAT — reference binding</w:t>
            </w:r>
          </w:p>
        </w:tc>
        <w:tc>
          <w:tcPr>
            <w:tcW w:type="dxa" w:w="1987"/>
          </w:tcPr>
          <w:p>
            <w:r>
              <w:t>Binding identifier</w:t>
            </w:r>
          </w:p>
        </w:tc>
        <w:tc>
          <w:tcPr>
            <w:tcW w:type="dxa" w:w="1987"/>
          </w:tcPr>
          <w:p>
            <w:r>
              <w:t>Bound value/expression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Provisional</w:t>
            </w:r>
          </w:p>
        </w:tc>
      </w:tr>
      <w:tr>
        <w:tc>
          <w:tcPr>
            <w:tcW w:type="dxa" w:w="1987"/>
          </w:tcPr>
          <w:p>
            <w:r>
              <w:t>KWAK — live evaluation</w:t>
            </w:r>
          </w:p>
        </w:tc>
        <w:tc>
          <w:tcPr>
            <w:tcW w:type="dxa" w:w="1987"/>
          </w:tcPr>
          <w:p>
            <w:r>
              <w:t>Live expression/reference</w:t>
            </w:r>
          </w:p>
        </w:tc>
        <w:tc>
          <w:tcPr>
            <w:tcW w:type="dxa" w:w="1987"/>
          </w:tcPr>
          <w:p>
            <w:r>
              <w:t>Current evaluated value</w:t>
            </w:r>
          </w:p>
        </w:tc>
        <w:tc>
          <w:tcPr>
            <w:tcW w:type="dxa" w:w="1987"/>
          </w:tcPr>
          <w:p>
            <w:r>
              <w:t>1 conceptually</w:t>
            </w:r>
          </w:p>
        </w:tc>
        <w:tc>
          <w:tcPr>
            <w:tcW w:type="dxa" w:w="1987"/>
          </w:tcPr>
          <w:p>
            <w:r>
              <w:t>Evaluation timing and repeated sampling unresolved</w:t>
            </w:r>
          </w:p>
        </w:tc>
      </w:tr>
      <w:tr>
        <w:tc>
          <w:tcPr>
            <w:tcW w:type="dxa" w:w="1987"/>
          </w:tcPr>
          <w:p>
            <w:r>
              <w:t>GRAN — AND</w:t>
            </w:r>
          </w:p>
        </w:tc>
        <w:tc>
          <w:tcPr>
            <w:tcW w:type="dxa" w:w="1987"/>
          </w:tcPr>
          <w:p>
            <w:r>
              <w:t>Boolean × Boolean</w:t>
            </w:r>
          </w:p>
        </w:tc>
        <w:tc>
          <w:tcPr>
            <w:tcW w:type="dxa" w:w="1987"/>
          </w:tcPr>
          <w:p>
            <w:r>
              <w:t>Boolean</w:t>
            </w:r>
          </w:p>
        </w:tc>
        <w:tc>
          <w:tcPr>
            <w:tcW w:type="dxa" w:w="1987"/>
          </w:tcPr>
          <w:p>
            <w:r>
              <w:t>2 proposed</w:t>
            </w:r>
          </w:p>
        </w:tc>
        <w:tc>
          <w:tcPr>
            <w:tcW w:type="dxa" w:w="1987"/>
          </w:tcPr>
          <w:p>
            <w:r>
              <w:t>Likely binary form; n-ary form not established</w:t>
            </w:r>
          </w:p>
        </w:tc>
      </w:tr>
      <w:tr>
        <w:tc>
          <w:tcPr>
            <w:tcW w:type="dxa" w:w="1987"/>
          </w:tcPr>
          <w:p>
            <w:r>
              <w:t>GRAT — OR</w:t>
            </w:r>
          </w:p>
        </w:tc>
        <w:tc>
          <w:tcPr>
            <w:tcW w:type="dxa" w:w="1987"/>
          </w:tcPr>
          <w:p>
            <w:r>
              <w:t>Boolean × Boolean</w:t>
            </w:r>
          </w:p>
        </w:tc>
        <w:tc>
          <w:tcPr>
            <w:tcW w:type="dxa" w:w="1987"/>
          </w:tcPr>
          <w:p>
            <w:r>
              <w:t>Boolean</w:t>
            </w:r>
          </w:p>
        </w:tc>
        <w:tc>
          <w:tcPr>
            <w:tcW w:type="dxa" w:w="1987"/>
          </w:tcPr>
          <w:p>
            <w:r>
              <w:t>2 proposed</w:t>
            </w:r>
          </w:p>
        </w:tc>
        <w:tc>
          <w:tcPr>
            <w:tcW w:type="dxa" w:w="1987"/>
          </w:tcPr>
          <w:p>
            <w:r>
              <w:t>Likely binary form; n-ary form not established</w:t>
            </w:r>
          </w:p>
        </w:tc>
      </w:tr>
      <w:tr>
        <w:tc>
          <w:tcPr>
            <w:tcW w:type="dxa" w:w="1987"/>
          </w:tcPr>
          <w:p>
            <w:r>
              <w:t>GRAK — NOT</w:t>
            </w:r>
          </w:p>
        </w:tc>
        <w:tc>
          <w:tcPr>
            <w:tcW w:type="dxa" w:w="1987"/>
          </w:tcPr>
          <w:p>
            <w:r>
              <w:t>Boolean</w:t>
            </w:r>
          </w:p>
        </w:tc>
        <w:tc>
          <w:tcPr>
            <w:tcW w:type="dxa" w:w="1987"/>
          </w:tcPr>
          <w:p>
            <w:r>
              <w:t>Boolean</w:t>
            </w:r>
          </w:p>
        </w:tc>
        <w:tc>
          <w:tcPr>
            <w:tcW w:type="dxa" w:w="1987"/>
          </w:tcPr>
          <w:p>
            <w:r>
              <w:t>1 proposed</w:t>
            </w:r>
          </w:p>
        </w:tc>
        <w:tc>
          <w:tcPr>
            <w:tcW w:type="dxa" w:w="1987"/>
          </w:tcPr>
          <w:p>
            <w:r>
              <w:t>Provisional</w:t>
            </w:r>
          </w:p>
        </w:tc>
      </w:tr>
      <w:tr>
        <w:tc>
          <w:tcPr>
            <w:tcW w:type="dxa" w:w="1987"/>
          </w:tcPr>
          <w:p>
            <w:r>
              <w:t>BEK — IF</w:t>
            </w:r>
          </w:p>
        </w:tc>
        <w:tc>
          <w:tcPr>
            <w:tcW w:type="dxa" w:w="1987"/>
          </w:tcPr>
          <w:p>
            <w:r>
              <w:t>Condition × expression/action</w:t>
            </w:r>
          </w:p>
        </w:tc>
        <w:tc>
          <w:tcPr>
            <w:tcW w:type="dxa" w:w="1987"/>
          </w:tcPr>
          <w:p>
            <w:r>
              <w:t>Conditional control expression</w:t>
            </w:r>
          </w:p>
        </w:tc>
        <w:tc>
          <w:tcPr>
            <w:tcW w:type="dxa" w:w="1987"/>
          </w:tcPr>
          <w:p>
            <w:r>
              <w:t>2 proposed</w:t>
            </w:r>
          </w:p>
        </w:tc>
        <w:tc>
          <w:tcPr>
            <w:tcW w:type="dxa" w:w="1987"/>
          </w:tcPr>
          <w:p>
            <w:r>
              <w:t>Else branch and evaluation semantics unresolved</w:t>
            </w:r>
          </w:p>
        </w:tc>
      </w:tr>
      <w:tr>
        <w:tc>
          <w:tcPr>
            <w:tcW w:type="dxa" w:w="1987"/>
          </w:tcPr>
          <w:p>
            <w:r>
              <w:t>ZET — WHILE</w:t>
            </w:r>
          </w:p>
        </w:tc>
        <w:tc>
          <w:tcPr>
            <w:tcW w:type="dxa" w:w="1987"/>
          </w:tcPr>
          <w:p>
            <w:r>
              <w:t>Condition × repeated action</w:t>
            </w:r>
          </w:p>
        </w:tc>
        <w:tc>
          <w:tcPr>
            <w:tcW w:type="dxa" w:w="1987"/>
          </w:tcPr>
          <w:p>
            <w:r>
              <w:t>Loop/control expression</w:t>
            </w:r>
          </w:p>
        </w:tc>
        <w:tc>
          <w:tcPr>
            <w:tcW w:type="dxa" w:w="1987"/>
          </w:tcPr>
          <w:p>
            <w:r>
              <w:t>2 proposed</w:t>
            </w:r>
          </w:p>
        </w:tc>
        <w:tc>
          <w:tcPr>
            <w:tcW w:type="dxa" w:w="1987"/>
          </w:tcPr>
          <w:p>
            <w:r>
              <w:t>Termination and evaluation timing unresolved</w:t>
            </w:r>
          </w:p>
        </w:tc>
      </w:tr>
    </w:tbl>
    <w:p>
      <w:pPr>
        <w:pStyle w:val="Heading1"/>
      </w:pPr>
      <w:r>
        <w:t>4. Important typing safeguards</w:t>
      </w:r>
    </w:p>
    <w:p>
      <w:pPr>
        <w:pStyle w:val="ListBullet"/>
      </w:pPr>
      <w:r>
        <w:t>Do not treat all quantities as interchangeable. Length, time, mass, velocity and energy have different dimensions.</w:t>
      </w:r>
    </w:p>
    <w:p>
      <w:pPr>
        <w:pStyle w:val="ListBullet"/>
      </w:pPr>
      <w:r>
        <w:t>Arithmetic output types depend on input dimensions: length + length can yield length; length × length yields area; length ÷ time yields velocity.</w:t>
      </w:r>
    </w:p>
    <w:p>
      <w:pPr>
        <w:pStyle w:val="ListBullet"/>
      </w:pPr>
      <w:r>
        <w:t>DRAL requires an explicit comparison criterion or relation value. Its exact representation is not yet defined.</w:t>
      </w:r>
    </w:p>
    <w:p>
      <w:pPr>
        <w:pStyle w:val="ListBullet"/>
      </w:pPr>
      <w:r>
        <w:t>SIMA must not create knowledge without a physical measurement pathway, sensor interaction, resolution and available information.</w:t>
      </w:r>
    </w:p>
    <w:p>
      <w:pPr>
        <w:pStyle w:val="ListBullet"/>
      </w:pPr>
      <w:r>
        <w:t>GAMA assigns a representation; it does not cause the represented physical state to occur.</w:t>
      </w:r>
    </w:p>
    <w:p>
      <w:pPr>
        <w:pStyle w:val="ListBullet"/>
      </w:pPr>
      <w:r>
        <w:t>KWAM creates a binding, not matter, energy or a physical object.</w:t>
      </w:r>
    </w:p>
    <w:p>
      <w:pPr>
        <w:pStyle w:val="ListBullet"/>
      </w:pPr>
      <w:r>
        <w:t>Control operators are not magical effects by themselves. Their evaluation semantics must be defined separately from spell execution.</w:t>
      </w:r>
    </w:p>
    <w:p>
      <w:pPr>
        <w:pStyle w:val="Heading1"/>
      </w:pPr>
      <w:r>
        <w:t>5. Unique-parse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Test</w:t>
            </w:r>
          </w:p>
        </w:tc>
        <w:tc>
          <w:tcPr>
            <w:tcW w:type="dxa" w:w="4968"/>
          </w:tcPr>
          <w:p>
            <w:r>
              <w:t>Expected result / current status</w:t>
            </w:r>
          </w:p>
        </w:tc>
      </w:tr>
      <w:tr>
        <w:tc>
          <w:tcPr>
            <w:tcW w:type="dxa" w:w="4968"/>
          </w:tcPr>
          <w:p>
            <w:r>
              <w:t>P2-T01 — Binary arity</w:t>
            </w:r>
          </w:p>
        </w:tc>
        <w:tc>
          <w:tcPr>
            <w:tcW w:type="dxa" w:w="4968"/>
          </w:tcPr>
          <w:p>
            <w:r>
              <w:t>FRAPA⟨KI, TO⟩ contains exactly two arguments; pass for the proposed audit notation.</w:t>
            </w:r>
          </w:p>
        </w:tc>
      </w:tr>
      <w:tr>
        <w:tc>
          <w:tcPr>
            <w:tcW w:type="dxa" w:w="4968"/>
          </w:tcPr>
          <w:p>
            <w:r>
              <w:t>P2-T02 — Missing argument</w:t>
            </w:r>
          </w:p>
        </w:tc>
        <w:tc>
          <w:tcPr>
            <w:tcW w:type="dxa" w:w="4968"/>
          </w:tcPr>
          <w:p>
            <w:r>
              <w:t>FRAPA⟨KI⟩ is invalid under the proposed binary signature; reject, do not guess.</w:t>
            </w:r>
          </w:p>
        </w:tc>
      </w:tr>
      <w:tr>
        <w:tc>
          <w:tcPr>
            <w:tcW w:type="dxa" w:w="4968"/>
          </w:tcPr>
          <w:p>
            <w:r>
              <w:t>P2-T03 — Extra argument</w:t>
            </w:r>
          </w:p>
        </w:tc>
        <w:tc>
          <w:tcPr>
            <w:tcW w:type="dxa" w:w="4968"/>
          </w:tcPr>
          <w:p>
            <w:r>
              <w:t>FRAPA⟨KI, TO, MU⟩ is invalid unless a separate variadic operator is explicitly defined.</w:t>
            </w:r>
          </w:p>
        </w:tc>
      </w:tr>
      <w:tr>
        <w:tc>
          <w:tcPr>
            <w:tcW w:type="dxa" w:w="4968"/>
          </w:tcPr>
          <w:p>
            <w:r>
              <w:t>P2-T04 — Nested parse</w:t>
            </w:r>
          </w:p>
        </w:tc>
        <w:tc>
          <w:tcPr>
            <w:tcW w:type="dxa" w:w="4968"/>
          </w:tcPr>
          <w:p>
            <w:r>
              <w:t>FRAPA⟨KI, FRAPA⟨TO, MU⟩⟩ has one explicit parse tree: outer FRAPA with KI and a nested FRAPA.</w:t>
            </w:r>
          </w:p>
        </w:tc>
      </w:tr>
      <w:tr>
        <w:tc>
          <w:tcPr>
            <w:tcW w:type="dxa" w:w="4968"/>
          </w:tcPr>
          <w:p>
            <w:r>
              <w:t>P2-T05 — Order sensitivity</w:t>
            </w:r>
          </w:p>
        </w:tc>
        <w:tc>
          <w:tcPr>
            <w:tcW w:type="dxa" w:w="4968"/>
          </w:tcPr>
          <w:p>
            <w:r>
              <w:t>FRATA⟨KI, TO⟩ differs structurally from FRATA⟨TO, KI⟩; subtraction order is preserved.</w:t>
            </w:r>
          </w:p>
        </w:tc>
      </w:tr>
      <w:tr>
        <w:tc>
          <w:tcPr>
            <w:tcW w:type="dxa" w:w="4968"/>
          </w:tcPr>
          <w:p>
            <w:r>
              <w:t>P2-T06 — Type mismatch</w:t>
            </w:r>
          </w:p>
        </w:tc>
        <w:tc>
          <w:tcPr>
            <w:tcW w:type="dxa" w:w="4968"/>
          </w:tcPr>
          <w:p>
            <w:r>
              <w:t>FRAPA⟨MA, SE⟩ must be rejected if MA is a length unit and SE is a time unit, unless an explicit compatible conversion/operation is defined.</w:t>
            </w:r>
          </w:p>
        </w:tc>
      </w:tr>
      <w:tr>
        <w:tc>
          <w:tcPr>
            <w:tcW w:type="dxa" w:w="4968"/>
          </w:tcPr>
          <w:p>
            <w:r>
              <w:t>P2-T07 — Modifier scope</w:t>
            </w:r>
          </w:p>
        </w:tc>
        <w:tc>
          <w:tcPr>
            <w:tcW w:type="dxa" w:w="4968"/>
          </w:tcPr>
          <w:p>
            <w:r>
              <w:t>A modifier on the outer expression must be distinguishable from the same modifier attached to a nested child; exact modifier notation remains unresolved.</w:t>
            </w:r>
          </w:p>
        </w:tc>
      </w:tr>
      <w:tr>
        <w:tc>
          <w:tcPr>
            <w:tcW w:type="dxa" w:w="4968"/>
          </w:tcPr>
          <w:p>
            <w:r>
              <w:t>P2-T08 — Surface speech</w:t>
            </w:r>
          </w:p>
        </w:tc>
        <w:tc>
          <w:tcPr>
            <w:tcW w:type="dxa" w:w="4968"/>
          </w:tcPr>
          <w:p>
            <w:r>
              <w:t>The abstract notation passes explicit-boundary tests, but spoken Arcane has not yet been shown to encode these boundaries reliably.</w:t>
            </w:r>
          </w:p>
        </w:tc>
      </w:tr>
    </w:tbl>
    <w:p>
      <w:pPr>
        <w:pStyle w:val="Heading1"/>
      </w:pPr>
      <w:r>
        <w:t>6. Current result</w:t>
      </w:r>
    </w:p>
    <w:p>
      <w:r>
        <w:t>The proposed written audit notation makes arity, nesting and argument order explicit. This is a useful test harness, not proof that the existing spoken/written Arcane grammar already satisfies the Unique Parse Requirement. Surface encoding for boundaries and modifier scope remains open.</w:t>
      </w:r>
    </w:p>
    <w:p>
      <w:r>
        <w:t>Test status: 8 tests specified; 6 structural expectations are directly supported by the proposed notation, 1 type test depends on a still-provisional signature/dimension system, and 1 spoken-surface test remains unverified. These are design-level checks, not a compiler run.</w:t>
      </w:r>
    </w:p>
    <w:p>
      <w:pPr>
        <w:pStyle w:val="Heading1"/>
      </w:pPr>
      <w:r>
        <w:t>7. Next tasks</w:t>
      </w:r>
    </w:p>
    <w:p>
      <w:pPr>
        <w:pStyle w:val="ListNumber"/>
      </w:pPr>
      <w:r>
        <w:t>Define a canonical type inventory: scalar, Boolean, vector, observation, reference, binding, temporal value, constraint and control expression.</w:t>
      </w:r>
    </w:p>
    <w:p>
      <w:pPr>
        <w:pStyle w:val="ListNumber"/>
      </w:pPr>
      <w:r>
        <w:t>Define quantity dimensions and unit conversions before locking arithmetic signatures.</w:t>
      </w:r>
    </w:p>
    <w:p>
      <w:pPr>
        <w:pStyle w:val="ListNumber"/>
      </w:pPr>
      <w:r>
        <w:t>Define comparison criteria and the representation of relation values for DRAL.</w:t>
      </w:r>
    </w:p>
    <w:p>
      <w:pPr>
        <w:pStyle w:val="ListNumber"/>
      </w:pPr>
      <w:r>
        <w:t>Define explicit grouping and modifier notation, then test whether it can be pronounced without ambiguity.</w:t>
      </w:r>
    </w:p>
    <w:p>
      <w:pPr>
        <w:pStyle w:val="ListNumber"/>
      </w:pPr>
      <w:r>
        <w:t>Recover v2.0 morphology before choosing how argument boundaries are realised in the actual language.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