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noProof/>
          <w:color w:val="5e6b67"/>
          <w:sz w:val="19"/>
          <w:szCs w:val="19"/>
          <w:rtl w:val="0"/>
          <w:lang w:val="zxx" w:eastAsia="zxx" w:bidi="zxx"/>
        </w:rPr>
        <w:t xml:space="preserve">L⁠E⁠G⁠A⁠V⁠I⁠K </w:t>
      </w:r>
      <w:r>
        <w:rPr>
          <w:color w:val="5e6b67"/>
          <w:sz w:val="19"/>
          <w:szCs w:val="19"/>
          <w:u w:color="1f6b52"/>
          <w:rtl w:val="0"/>
          <w:lang w:val="de-DE"/>
        </w:rPr>
        <w:t xml:space="preserve">· </w:t>
      </w:r>
      <w:r>
        <w:rPr>
          <w:color w:val="5e6b67"/>
          <w:sz w:val="19"/>
          <w:szCs w:val="19"/>
          <w:u w:color="1f6b52"/>
          <w:rtl w:val="0"/>
          <w:lang w:val="de-DE"/>
        </w:rPr>
        <w:t>Recovery Map</w:t>
      </w:r>
    </w:p>
    <w:p>
      <w:pPr>
        <w:pStyle w:val="Title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u w:color="0b6b4f"/>
          <w:rtl w:val="0"/>
          <w:lang w:val="en-US"/>
        </w:rPr>
        <w:t>模块</w:t>
      </w:r>
      <w:r>
        <w:rPr>
          <w:rFonts w:ascii="Arial" w:hAnsi="Arial"/>
          <w:b w:val="1"/>
          <w:bCs w:val="1"/>
          <w:color w:val="0b6b4f"/>
          <w:u w:color="0b6b4f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color w:val="0b6b4f"/>
          <w:u w:color="0b6b4f"/>
          <w:rtl w:val="0"/>
          <w:lang w:val="en-US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u w:color="0b6b4f"/>
          <w:rtl w:val="0"/>
          <w:lang w:val="en-US"/>
        </w:rPr>
        <w:t>｜资产与账户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67085"/>
          <w:rtl w:val="0"/>
          <w:lang w:val="de-DE"/>
        </w:rPr>
        <w:t>用于整理需要纳入</w:t>
      </w:r>
      <w:r>
        <w:rPr>
          <w:color w:val="5e6b67"/>
          <w:sz w:val="23"/>
          <w:szCs w:val="23"/>
          <w:u w:color="667085"/>
          <w:rtl w:val="0"/>
          <w:lang w:val="de-DE"/>
        </w:rPr>
        <w:t xml:space="preserve"> </w:t>
      </w:r>
      <w:r>
        <w:rPr>
          <w:color w:val="5e6b67"/>
          <w:sz w:val="23"/>
          <w:szCs w:val="23"/>
          <w:u w:color="667085"/>
          <w:rtl w:val="0"/>
          <w:lang w:val="en-US"/>
        </w:rPr>
        <w:t xml:space="preserve">Crypto Recovery Map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67085"/>
          <w:rtl w:val="0"/>
          <w:lang w:val="de-DE"/>
        </w:rPr>
        <w:t>的交易平台与钱包。</w:t>
      </w:r>
    </w:p>
    <w:tbl>
      <w:tblPr>
        <w:tblW w:w="1054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40"/>
      </w:tblGrid>
      <w:tr>
        <w:tblPrEx>
          <w:shd w:val="clear" w:color="auto" w:fill="ced7e7"/>
        </w:tblPrEx>
        <w:trPr>
          <w:trHeight w:val="1946" w:hRule="atLeast"/>
        </w:trPr>
        <w:tc>
          <w:tcPr>
            <w:tcW w:type="dxa" w:w="10540"/>
            <w:tcBorders>
              <w:top w:val="single" w:color="d3ddd8" w:sz="5" w:space="0" w:shadow="0" w:frame="0"/>
              <w:left w:val="single" w:color="d3ddd8" w:sz="5" w:space="0" w:shadow="0" w:frame="0"/>
              <w:bottom w:val="single" w:color="d3ddd8" w:sz="5" w:space="0" w:shadow="0" w:frame="0"/>
              <w:right w:val="single" w:color="d3ddd8" w:sz="5" w:space="0" w:shadow="0" w:frame="0"/>
            </w:tcBorders>
            <w:shd w:val="clear" w:color="auto" w:fill="f4f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6b52"/>
                <w:rtl w:val="0"/>
                <w:lang w:val="zh-CN" w:eastAsia="zh-CN"/>
              </w:rPr>
              <w:t>填写说明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请把你希望纳入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Recovery Map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的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Crypto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平台或钱包逐项列出。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平台类别可参考：中心化交易所、去中心化交易所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>/ DeFi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、冷钱包、热钱包、多签钱包、其他。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如果资产分散在较多、长期不使用或金额较小的账户中，可根据自己的安全、税务和实际使用需要，考虑是否有必要适当整理。减少不必要的分散，有助于日常管理，也能降低未来恢复人的查找与恢复复杂度。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请不要在本模板中填写完整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（助记词）或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（私钥）。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after="0"/>
      </w:pPr>
    </w:p>
    <w:p>
      <w:pPr>
        <w:pStyle w:val="小标题"/>
        <w:spacing w:before="60" w:after="100"/>
      </w:pPr>
      <w:r>
        <w:rPr>
          <w:rtl w:val="0"/>
          <w:lang w:val="es-ES_tradnl"/>
        </w:rPr>
        <w:t xml:space="preserve">Crypto </w:t>
      </w:r>
      <w:r>
        <w:rPr>
          <w:rFonts w:eastAsia="PingFang SC Semibold" w:hint="eastAsia"/>
          <w:b w:val="0"/>
          <w:bCs w:val="0"/>
          <w:rtl w:val="0"/>
          <w:lang w:val="es-ES_tradnl"/>
        </w:rPr>
        <w:t>资产与账户清单</w:t>
      </w:r>
    </w:p>
    <w:p>
      <w:pPr>
        <w:pStyle w:val="正文 A"/>
        <w:spacing w:after="80"/>
      </w:pPr>
      <w:r>
        <w:rPr>
          <w:rFonts w:eastAsia="PingFang SC Regular" w:hint="eastAsia"/>
          <w:color w:val="667085"/>
          <w:sz w:val="17"/>
          <w:szCs w:val="17"/>
          <w:u w:color="667085"/>
          <w:rtl w:val="0"/>
          <w:lang w:val="de-DE"/>
        </w:rPr>
        <w:t>按实际情况填写即可；如本页不够，可复制本页或重新下载一份继续填写。</w:t>
      </w:r>
    </w:p>
    <w:tbl>
      <w:tblPr>
        <w:tblW w:w="1009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"/>
        <w:gridCol w:w="3628"/>
        <w:gridCol w:w="2466"/>
        <w:gridCol w:w="3515"/>
      </w:tblGrid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481"/>
            <w:tcBorders>
              <w:top w:val="single" w:color="1f6b52" w:sz="5" w:space="0" w:shadow="0" w:frame="0"/>
              <w:left w:val="single" w:color="1f6b52" w:sz="5" w:space="0" w:shadow="0" w:frame="0"/>
              <w:bottom w:val="single" w:color="bfcfc7" w:sz="6" w:space="0" w:shadow="0" w:frame="0"/>
              <w:right w:val="single" w:color="1f6b52" w:sz="5" w:space="0" w:shadow="0" w:frame="0"/>
            </w:tcBorders>
            <w:shd w:val="clear" w:color="auto" w:fill="1f6b5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>No.</w:t>
            </w:r>
          </w:p>
        </w:tc>
        <w:tc>
          <w:tcPr>
            <w:tcW w:type="dxa" w:w="3628"/>
            <w:tcBorders>
              <w:top w:val="single" w:color="1f6b52" w:sz="5" w:space="0" w:shadow="0" w:frame="0"/>
              <w:left w:val="single" w:color="1f6b52" w:sz="5" w:space="0" w:shadow="0" w:frame="0"/>
              <w:bottom w:val="single" w:color="bfcfc7" w:sz="6" w:space="0" w:shadow="0" w:frame="0"/>
              <w:right w:val="single" w:color="1f6b52" w:sz="5" w:space="0" w:shadow="0" w:frame="0"/>
            </w:tcBorders>
            <w:shd w:val="clear" w:color="auto" w:fill="1f6b5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TW" w:eastAsia="zh-TW"/>
              </w:rPr>
              <w:t>平台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钱包名称</w:t>
            </w:r>
          </w:p>
        </w:tc>
        <w:tc>
          <w:tcPr>
            <w:tcW w:type="dxa" w:w="2466"/>
            <w:tcBorders>
              <w:top w:val="single" w:color="1f6b52" w:sz="5" w:space="0" w:shadow="0" w:frame="0"/>
              <w:left w:val="single" w:color="1f6b52" w:sz="5" w:space="0" w:shadow="0" w:frame="0"/>
              <w:bottom w:val="single" w:color="bfcfc7" w:sz="6" w:space="0" w:shadow="0" w:frame="0"/>
              <w:right w:val="single" w:color="1f6b52" w:sz="5" w:space="0" w:shadow="0" w:frame="0"/>
            </w:tcBorders>
            <w:shd w:val="clear" w:color="auto" w:fill="1f6b5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平台类别</w:t>
            </w:r>
          </w:p>
        </w:tc>
        <w:tc>
          <w:tcPr>
            <w:tcW w:type="dxa" w:w="3515"/>
            <w:tcBorders>
              <w:top w:val="single" w:color="1f6b52" w:sz="5" w:space="0" w:shadow="0" w:frame="0"/>
              <w:left w:val="single" w:color="1f6b52" w:sz="5" w:space="0" w:shadow="0" w:frame="0"/>
              <w:bottom w:val="single" w:color="bfcfc7" w:sz="6" w:space="0" w:shadow="0" w:frame="0"/>
              <w:right w:val="single" w:color="1f6b52" w:sz="5" w:space="0" w:shadow="0" w:frame="0"/>
            </w:tcBorders>
            <w:shd w:val="clear" w:color="auto" w:fill="1f6b5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1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2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3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4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5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6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7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8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小标题"/>
        <w:spacing w:before="140" w:after="80"/>
      </w:pPr>
      <w:r>
        <w:rPr>
          <w:rFonts w:eastAsia="PingFang SC Semibold" w:hint="eastAsia"/>
          <w:b w:val="0"/>
          <w:bCs w:val="0"/>
          <w:rtl w:val="0"/>
          <w:lang w:val="es-ES_tradnl"/>
        </w:rPr>
        <w:t>补充说明</w:t>
      </w:r>
    </w:p>
    <w:p>
      <w:pPr>
        <w:pStyle w:val="正文 A"/>
        <w:spacing w:after="60"/>
      </w:pPr>
      <w:r>
        <w:rPr>
          <w:rFonts w:eastAsia="PingFang SC Regular" w:hint="eastAsia"/>
          <w:color w:val="667085"/>
          <w:sz w:val="17"/>
          <w:szCs w:val="17"/>
          <w:u w:color="667085"/>
          <w:rtl w:val="0"/>
          <w:lang w:val="de-DE"/>
        </w:rPr>
        <w:t>如有上表无法表达、但未来恢复人需要知道的信息，可在这里补充。</w:t>
      </w:r>
    </w:p>
    <w:tbl>
      <w:tblPr>
        <w:tblW w:w="1054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40"/>
      </w:tblGrid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40"/>
            <w:tcBorders>
              <w:top w:val="nil"/>
              <w:left w:val="nil"/>
              <w:bottom w:val="single" w:color="bfcfc7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5" w:hRule="atLeast"/>
        </w:trPr>
        <w:tc>
          <w:tcPr>
            <w:tcW w:type="dxa" w:w="10540"/>
            <w:tcBorders>
              <w:top w:val="single" w:color="bfcfc7" w:sz="6" w:space="0" w:shadow="0" w:frame="0"/>
              <w:left w:val="nil"/>
              <w:bottom w:val="single" w:color="bfcfc7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小标题"/>
        <w:spacing w:before="140" w:after="60"/>
      </w:pPr>
      <w:r>
        <w:rPr>
          <w:rFonts w:eastAsia="PingFang SC Semibold" w:hint="eastAsia"/>
          <w:b w:val="0"/>
          <w:bCs w:val="0"/>
          <w:rtl w:val="0"/>
          <w:lang w:val="es-ES_tradnl"/>
        </w:rPr>
        <w:t>完成前检查</w:t>
      </w:r>
    </w:p>
    <w:p>
      <w:pPr>
        <w:pStyle w:val="正文 A"/>
        <w:spacing w:after="40"/>
      </w:pPr>
      <w:r>
        <w:rPr>
          <w:sz w:val="18"/>
          <w:szCs w:val="18"/>
          <w:rtl w:val="0"/>
          <w:lang w:val="de-DE"/>
        </w:rPr>
        <w:t xml:space="preserve">□ </w:t>
      </w:r>
      <w:r>
        <w:rPr>
          <w:rFonts w:eastAsia="PingFang SC Regular" w:hint="eastAsia"/>
          <w:sz w:val="18"/>
          <w:szCs w:val="18"/>
          <w:rtl w:val="0"/>
          <w:lang w:val="de-DE"/>
        </w:rPr>
        <w:t xml:space="preserve">已列出准备纳入 </w:t>
      </w:r>
      <w:r>
        <w:rPr>
          <w:sz w:val="18"/>
          <w:szCs w:val="18"/>
          <w:rtl w:val="0"/>
          <w:lang w:val="en-US"/>
        </w:rPr>
        <w:t xml:space="preserve">Recovery Map </w:t>
      </w:r>
      <w:r>
        <w:rPr>
          <w:rFonts w:eastAsia="PingFang SC Regular" w:hint="eastAsia"/>
          <w:sz w:val="18"/>
          <w:szCs w:val="18"/>
          <w:rtl w:val="0"/>
          <w:lang w:val="de-DE"/>
        </w:rPr>
        <w:t xml:space="preserve">的主要 </w:t>
      </w:r>
      <w:r>
        <w:rPr>
          <w:sz w:val="18"/>
          <w:szCs w:val="18"/>
          <w:rtl w:val="0"/>
          <w:lang w:val="es-ES_tradnl"/>
        </w:rPr>
        <w:t xml:space="preserve">Crypto </w:t>
      </w:r>
      <w:r>
        <w:rPr>
          <w:rFonts w:eastAsia="PingFang SC Regular" w:hint="eastAsia"/>
          <w:sz w:val="18"/>
          <w:szCs w:val="18"/>
          <w:rtl w:val="0"/>
          <w:lang w:val="de-DE"/>
        </w:rPr>
        <w:t>平台和钱包。</w:t>
      </w:r>
    </w:p>
    <w:p>
      <w:pPr>
        <w:pStyle w:val="正文 A"/>
        <w:spacing w:after="40"/>
      </w:pPr>
      <w:r>
        <w:rPr>
          <w:sz w:val="18"/>
          <w:szCs w:val="18"/>
          <w:rtl w:val="0"/>
          <w:lang w:val="de-DE"/>
        </w:rPr>
        <w:t xml:space="preserve">□ </w:t>
      </w:r>
      <w:r>
        <w:rPr>
          <w:rFonts w:eastAsia="PingFang SC Regular" w:hint="eastAsia"/>
          <w:sz w:val="18"/>
          <w:szCs w:val="18"/>
          <w:rtl w:val="0"/>
          <w:lang w:val="de-DE"/>
        </w:rPr>
        <w:t xml:space="preserve">平台 </w:t>
      </w:r>
      <w:r>
        <w:rPr>
          <w:sz w:val="18"/>
          <w:szCs w:val="18"/>
          <w:rtl w:val="0"/>
          <w:lang w:val="de-DE"/>
        </w:rPr>
        <w:t xml:space="preserve">/ </w:t>
      </w:r>
      <w:r>
        <w:rPr>
          <w:rFonts w:eastAsia="PingFang SC Regular" w:hint="eastAsia"/>
          <w:sz w:val="18"/>
          <w:szCs w:val="18"/>
          <w:rtl w:val="0"/>
          <w:lang w:val="de-DE"/>
        </w:rPr>
        <w:t>钱包名称足够清楚，未来的我或恢复人能够识别。</w:t>
      </w:r>
    </w:p>
    <w:p>
      <w:pPr>
        <w:pStyle w:val="正文 A"/>
        <w:spacing w:after="40"/>
      </w:pPr>
      <w:r>
        <w:rPr>
          <w:sz w:val="18"/>
          <w:szCs w:val="18"/>
          <w:rtl w:val="0"/>
          <w:lang w:val="de-DE"/>
        </w:rPr>
        <w:t xml:space="preserve">□ </w:t>
      </w:r>
      <w:r>
        <w:rPr>
          <w:rFonts w:eastAsia="PingFang SC Regular" w:hint="eastAsia"/>
          <w:sz w:val="18"/>
          <w:szCs w:val="18"/>
          <w:rtl w:val="0"/>
          <w:lang w:val="de-DE"/>
        </w:rPr>
        <w:t>特殊情况已在备注或补充说明中记录。</w:t>
      </w:r>
    </w:p>
    <w:p>
      <w:pPr>
        <w:pStyle w:val="正文 A"/>
        <w:spacing w:after="40"/>
      </w:pPr>
      <w:r>
        <w:rPr>
          <w:sz w:val="18"/>
          <w:szCs w:val="18"/>
          <w:rtl w:val="0"/>
          <w:lang w:val="de-DE"/>
        </w:rPr>
        <w:t xml:space="preserve">□ </w:t>
      </w:r>
      <w:r>
        <w:rPr>
          <w:rFonts w:eastAsia="PingFang SC Regular" w:hint="eastAsia"/>
          <w:sz w:val="18"/>
          <w:szCs w:val="18"/>
          <w:rtl w:val="0"/>
          <w:lang w:val="de-DE"/>
        </w:rPr>
        <w:t>未在本模板中填写完整助记词或私钥。</w:t>
      </w:r>
    </w:p>
    <w:sectPr>
      <w:headerReference w:type="default" r:id="rId4"/>
      <w:footerReference w:type="default" r:id="rId5"/>
      <w:pgSz w:w="12240" w:h="15840" w:orient="portrait"/>
      <w:pgMar w:top="893" w:right="936" w:bottom="835" w:left="936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/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de-DE"/>
    </w:rPr>
  </w:style>
  <w:style w:type="paragraph" w:styleId="Title">
    <w:name w:val="Title"/>
    <w:next w:val="正文 A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1f2937"/>
      <w:spacing w:val="5"/>
      <w:kern w:val="28"/>
      <w:position w:val="0"/>
      <w:sz w:val="44"/>
      <w:szCs w:val="44"/>
      <w:u w:val="none" w:color="1f2937"/>
      <w:vertAlign w:val="baseline"/>
      <w:lang w:val="en-US"/>
    </w:rPr>
  </w:style>
  <w:style w:type="paragraph" w:styleId="小标题">
    <w:name w:val="小标题"/>
    <w:next w:val="正文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6b52"/>
      <w:spacing w:val="0"/>
      <w:kern w:val="0"/>
      <w:position w:val="0"/>
      <w:sz w:val="28"/>
      <w:szCs w:val="28"/>
      <w:u w:val="none" w:color="1f6b52"/>
      <w:vertAlign w:val="baseline"/>
      <w:lang w:val="es-ES_tradn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Module1 资产与账户 Canonical V2</dc:title>
  <dc:subject>Digital Asset Recovery Infrastructure</dc:subject>
  <dc:creator>LEGAVIK</dc:creator>
  <cp:lastModifiedBy>LEGAVIK</cp:lastModifiedBy>
  <cp:keywords>LEGAVIK, Digital Asset Recovery &amp; Legacy, Recovery Map</cp:keywords>
</cp:coreProperties>
</file>