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60"/>
      </w:pP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2"/>
          <w:szCs w:val="4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适用于某一个交易所、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43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先填写平台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每种场景预留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步，不足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步无需填满；如步骤更多，可在</w:t>
      </w:r>
      <w:r>
        <w:rPr>
          <w:color w:val="22302a"/>
          <w:sz w:val="17"/>
          <w:szCs w:val="17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其他说明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特殊情况</w:t>
      </w:r>
      <w:r>
        <w:rPr>
          <w:color w:val="22302a"/>
          <w:sz w:val="17"/>
          <w:szCs w:val="17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619" w:right="835" w:bottom="619" w:left="835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单一平台填写模板 V1 Final</dc:title>
  <dc:subject>Digital Asset Recovery Infrastructure</dc:subject>
  <dc:creator>LEGAVIK</dc:creator>
  <cp:lastModifiedBy>LEGAVIK</cp:lastModifiedBy>
  <cp:keywords>LEGAVIK, Digital Asset Recovery &amp; Legacy, Recovery Map</cp:keywords>
</cp:coreProperties>
</file>