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spacing w:after="60"/>
      </w:pP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模块</w:t>
      </w:r>
      <w:r>
        <w:rPr>
          <w:b w:val="1"/>
          <w:bCs w:val="1"/>
          <w:color w:val="147a56"/>
          <w:sz w:val="44"/>
          <w:szCs w:val="44"/>
          <w:u w:color="147a56"/>
          <w:rtl w:val="0"/>
        </w:rPr>
        <w:t>4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｜恢复与转移步骤｜汇总平台填写模板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按不同账户类型和设备状态，记录实际登录、恢复和必要转移的操作顺序。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2519" w:hRule="atLeast"/>
        </w:trPr>
        <w:tc>
          <w:tcPr>
            <w:tcW w:type="dxa" w:w="10570"/>
            <w:tcBorders>
              <w:top w:val="single" w:color="ddebe4" w:sz="5" w:space="0" w:shadow="0" w:frame="0"/>
              <w:left w:val="single" w:color="ddebe4" w:sz="5" w:space="0" w:shadow="0" w:frame="0"/>
              <w:bottom w:val="single" w:color="ddebe4" w:sz="5" w:space="0" w:shadow="0" w:frame="0"/>
              <w:right w:val="single" w:color="ddebe4" w:sz="5" w:space="0" w:shadow="0" w:frame="0"/>
            </w:tcBorders>
            <w:shd w:val="clear" w:color="auto" w:fill="eaf4e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rPr/>
            </w:pPr>
            <w:r>
              <w:rPr>
                <w:rFonts w:eastAsia="PingFang SC Semibold" w:hint="eastAsia"/>
                <w:color w:val="147a56"/>
                <w:sz w:val="22"/>
                <w:szCs w:val="22"/>
                <w:u w:color="147a56"/>
                <w:rtl w:val="0"/>
                <w:lang w:val="en-US"/>
              </w:rPr>
              <w:t>模板说明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本模板是本模块电子填写内容的辅助整理工具。可以与线上填写内容配合使用，也可以上传其他文字、图片、音频或自定义附件作为补充。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同一账户在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备用设备仍可用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和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原有设备不可用 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使用新设备恢复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”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两种情况下，操作路径可能明显不同，因此分别记录。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正式产品可根据模块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1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已经选择的平台类型和数量，自动生成相应的填写页；本评审版同时展示四类账户，便于统一检查。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建议先完成模块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所需恢复条件和模块</w:t>
            </w: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位置与查找信息，再填写本模块。步骤应以真实账户、官方流程或实际演练结果为准。</w:t>
            </w:r>
          </w:p>
          <w:p>
            <w:pPr>
              <w:pStyle w:val="正文"/>
              <w:bidi w:val="0"/>
              <w:spacing w:after="40"/>
              <w:ind w:left="0" w:right="0" w:firstLine="0"/>
              <w:jc w:val="left"/>
              <w:rPr>
                <w:rtl w:val="0"/>
              </w:rPr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• 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涉及助记词或私钥时，只记录操作方式和顺序，不要在本模板中填写完整内容。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40" w:after="80"/>
      </w:pPr>
      <w:r>
        <w:rPr>
          <w:rFonts w:eastAsia="PingFang SC Semibold" w:hint="eastAsia"/>
          <w:color w:val="147a56"/>
          <w:sz w:val="24"/>
          <w:szCs w:val="24"/>
          <w:u w:color="147a56"/>
          <w:rtl w:val="0"/>
          <w:lang w:val="en-US"/>
        </w:rPr>
        <w:t>不同账户类型的填写重点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32"/>
        <w:gridCol w:w="3096"/>
        <w:gridCol w:w="4824"/>
      </w:tblGrid>
      <w:tr>
        <w:tblPrEx>
          <w:shd w:val="clear" w:color="auto" w:fill="ced7e7"/>
        </w:tblPrEx>
        <w:trPr>
          <w:trHeight w:val="256" w:hRule="atLeast"/>
        </w:trPr>
        <w:tc>
          <w:tcPr>
            <w:tcW w:type="dxa" w:w="223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类型</w:t>
            </w:r>
          </w:p>
        </w:tc>
        <w:tc>
          <w:tcPr>
            <w:tcW w:type="dxa" w:w="30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适用对象</w:t>
            </w:r>
          </w:p>
        </w:tc>
        <w:tc>
          <w:tcPr>
            <w:tcW w:type="dxa" w:w="4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7"/>
                <w:szCs w:val="17"/>
                <w:u w:color="ffffff"/>
                <w:rtl w:val="0"/>
                <w:lang w:val="en-US"/>
              </w:rPr>
              <w:t>步骤重点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A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｜中心化交易所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Binance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OKX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Coinbase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登录验证、账户恢复、身份核验、安全检查及必要转移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B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</w:t>
            </w: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DEX / DeFi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Uniswap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、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Aave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先恢复关联钱包，再重新连接协议并核对仓位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授权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C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｜自托管钱包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热钱包、冷钱包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原设备解锁或新设备导入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恢复、核对地址与资产</w:t>
            </w:r>
          </w:p>
        </w:tc>
      </w:tr>
      <w:tr>
        <w:tblPrEx>
          <w:shd w:val="clear" w:color="auto" w:fill="ced7e7"/>
        </w:tblPrEx>
        <w:trPr>
          <w:trHeight w:val="451" w:hRule="atLeast"/>
        </w:trPr>
        <w:tc>
          <w:tcPr>
            <w:tcW w:type="dxa" w:w="223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6"/>
                <w:szCs w:val="16"/>
                <w:u w:color="22302a"/>
                <w:rtl w:val="0"/>
                <w:lang w:val="en-US"/>
              </w:rPr>
              <w:t>D</w:t>
            </w:r>
            <w:r>
              <w:rPr>
                <w:rFonts w:eastAsia="PingFang SC Semibold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｜多签钱包</w:t>
            </w:r>
          </w:p>
        </w:tc>
        <w:tc>
          <w:tcPr>
            <w:tcW w:type="dxa" w:w="30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Safe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等</w:t>
            </w:r>
          </w:p>
        </w:tc>
        <w:tc>
          <w:tcPr>
            <w:tcW w:type="dxa" w:w="4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恢复达到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Threshold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数量的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，再完成提案、签名与执行</w:t>
            </w:r>
          </w:p>
        </w:tc>
      </w:tr>
    </w:tbl>
    <w:p>
      <w:pPr>
        <w:pStyle w:val="正文"/>
        <w:widowControl w:val="0"/>
        <w:spacing w:before="140" w:after="8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使用方式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>• 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汇总平台填写模板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用于在一份文件中整理多个平台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钱包的恢复步骤；如某个平台情况复杂，后续可使用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单一平台填写模板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单独展开。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每种场景最多预留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步，不足</w:t>
      </w:r>
      <w:r>
        <w:rPr>
          <w:color w:val="22302a"/>
          <w:sz w:val="18"/>
          <w:szCs w:val="18"/>
          <w:u w:color="22302a"/>
          <w:rtl w:val="0"/>
        </w:rPr>
        <w:t>10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步无需填满。步骤较多时可在</w:t>
      </w:r>
      <w:r>
        <w:rPr>
          <w:color w:val="22302a"/>
          <w:sz w:val="18"/>
          <w:szCs w:val="18"/>
          <w:u w:color="22302a"/>
          <w:rtl w:val="0"/>
          <w:lang w:val="en-US"/>
        </w:rPr>
        <w:t>“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 xml:space="preserve">其他说明 </w:t>
      </w:r>
      <w:r>
        <w:rPr>
          <w:color w:val="22302a"/>
          <w:sz w:val="18"/>
          <w:szCs w:val="18"/>
          <w:u w:color="22302a"/>
          <w:rtl w:val="0"/>
        </w:rPr>
        <w:t xml:space="preserve">/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特殊情况</w:t>
      </w:r>
      <w:r>
        <w:rPr>
          <w:color w:val="22302a"/>
          <w:sz w:val="18"/>
          <w:szCs w:val="18"/>
          <w:u w:color="22302a"/>
          <w:rtl w:val="0"/>
          <w:lang w:val="en-US"/>
        </w:rPr>
        <w:t>”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继续补充。</w:t>
      </w:r>
    </w:p>
    <w:p>
      <w:pPr>
        <w:pStyle w:val="正文"/>
        <w:spacing w:after="40"/>
      </w:pPr>
      <w:r>
        <w:rPr>
          <w:color w:val="22302a"/>
          <w:sz w:val="18"/>
          <w:szCs w:val="18"/>
          <w:u w:color="22302a"/>
          <w:rtl w:val="0"/>
          <w:lang w:val="en-US"/>
        </w:rPr>
        <w:t xml:space="preserve">• </w:t>
      </w:r>
      <w:r>
        <w:rPr>
          <w:rFonts w:eastAsia="PingFang SC Regular" w:hint="eastAsia"/>
          <w:color w:val="22302a"/>
          <w:sz w:val="18"/>
          <w:szCs w:val="18"/>
          <w:u w:color="22302a"/>
          <w:rtl w:val="0"/>
          <w:lang w:val="en-US"/>
        </w:rPr>
        <w:t>填写完成后，可将本文件作为本模块附件上传，也可以保存在自己的设备中。</w:t>
      </w: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A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｜中心化交易所填写页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 xml:space="preserve">用于记录中心化交易所在原有 </w:t>
      </w:r>
      <w:r>
        <w:rPr>
          <w:color w:val="6f7b76"/>
          <w:sz w:val="22"/>
          <w:szCs w:val="22"/>
          <w:u w:color="6f7b76"/>
          <w:rtl w:val="0"/>
        </w:rPr>
        <w:t xml:space="preserve">/ 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备用设备可用或需要新设备恢复时的操作步骤。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账户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/ UID / Username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交易所注册邮箱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交易所注册手机号（如使用）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2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所需恢复条件已准备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模块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3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关键材料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正在使用交易所官方入口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后续接收地址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B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</w:t>
      </w:r>
      <w:r>
        <w:rPr>
          <w:b w:val="1"/>
          <w:bCs w:val="1"/>
          <w:color w:val="147a56"/>
          <w:sz w:val="44"/>
          <w:szCs w:val="44"/>
          <w:u w:color="147a56"/>
          <w:rtl w:val="0"/>
          <w:lang w:val="da-DK"/>
        </w:rPr>
        <w:t>DEX / DeFi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先恢复关联钱包，再记录重新连接协议和必要操作的实际步骤。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协议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平台名称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关联钱包名称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关联钱包关键材料已找到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协议官方入口已确认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后续资产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仓位处理方案已确认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C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｜自托管钱包填写页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适用于热钱包和冷钱包。记录原设备可用或新设备恢复时的实际操作顺序。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钱包名称 </w:t>
            </w: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品牌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钱包类别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钱包使用软件（如需要）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钱包恢复条件已准备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关键恢复材料已找到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官方软件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设备来源已确认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目标地址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/ 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后续处理方案已确认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</w:pP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</w:rPr>
      </w:r>
    </w:p>
    <w:p>
      <w:pPr>
        <w:pStyle w:val="正文"/>
        <w:spacing w:after="40"/>
      </w:pPr>
      <w:r>
        <w:rPr>
          <w:color w:val="6f7b76"/>
          <w:sz w:val="18"/>
          <w:szCs w:val="18"/>
          <w:u w:color="6f7b76"/>
          <w:rtl w:val="0"/>
          <w:lang w:val="en-US"/>
          <w:noProof/>
        </w:rPr>
        <w:t xml:space="preserve">L⁠E⁠G⁠A⁠V⁠I⁠K  /  Recovery Map </w:t>
      </w:r>
      <w:r>
        <w:rPr>
          <w:rFonts w:eastAsia="PingFang SC Regular" w:hint="eastAsia"/>
          <w:color w:val="6f7b76"/>
          <w:sz w:val="18"/>
          <w:szCs w:val="18"/>
          <w:u w:color="6f7b76"/>
          <w:rtl w:val="0"/>
          <w:lang w:val="en-US"/>
        </w:rPr>
        <w:t>填写工具</w:t>
      </w:r>
    </w:p>
    <w:p>
      <w:pPr>
        <w:pStyle w:val="正文"/>
        <w:spacing w:after="60"/>
      </w:pPr>
      <w:r>
        <w:rPr>
          <w:b w:val="1"/>
          <w:bCs w:val="1"/>
          <w:color w:val="147a56"/>
          <w:sz w:val="44"/>
          <w:szCs w:val="44"/>
          <w:u w:color="147a56"/>
          <w:rtl w:val="0"/>
        </w:rPr>
        <w:t>D</w:t>
      </w:r>
      <w:r>
        <w:rPr>
          <w:rFonts w:eastAsia="PingFang SC Semibold" w:hint="eastAsia"/>
          <w:color w:val="147a56"/>
          <w:sz w:val="44"/>
          <w:szCs w:val="44"/>
          <w:u w:color="147a56"/>
          <w:rtl w:val="0"/>
          <w:lang w:val="en-US"/>
        </w:rPr>
        <w:t>｜多签钱包填写页</w:t>
      </w:r>
    </w:p>
    <w:p>
      <w:pPr>
        <w:pStyle w:val="正文"/>
        <w:spacing w:after="160"/>
      </w:pP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记录恢复达到</w:t>
      </w:r>
      <w:r>
        <w:rPr>
          <w:color w:val="6f7b76"/>
          <w:sz w:val="22"/>
          <w:szCs w:val="22"/>
          <w:u w:color="6f7b76"/>
          <w:rtl w:val="0"/>
          <w:lang w:val="da-DK"/>
        </w:rPr>
        <w:t>Threshold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数量的</w:t>
      </w:r>
      <w:r>
        <w:rPr>
          <w:color w:val="6f7b76"/>
          <w:sz w:val="22"/>
          <w:szCs w:val="22"/>
          <w:u w:color="6f7b76"/>
          <w:rtl w:val="0"/>
          <w:lang w:val="da-DK"/>
        </w:rPr>
        <w:t>Signer</w:t>
      </w:r>
      <w:r>
        <w:rPr>
          <w:rFonts w:eastAsia="PingFang SC Regular" w:hint="eastAsia"/>
          <w:color w:val="6f7b76"/>
          <w:sz w:val="22"/>
          <w:szCs w:val="22"/>
          <w:u w:color="6f7b76"/>
          <w:rtl w:val="0"/>
          <w:lang w:val="en-US"/>
        </w:rPr>
        <w:t>，以及后续提案、签名和执行的操作步骤。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5285"/>
        <w:gridCol w:w="5285"/>
      </w:tblGrid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多签钱包名称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多签地址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Semibold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数量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15" w:hRule="atLeast"/>
        </w:trPr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f5f7f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b w:val="1"/>
                <w:bCs w:val="1"/>
                <w:color w:val="22302a"/>
                <w:sz w:val="18"/>
                <w:szCs w:val="18"/>
                <w:u w:color="22302a"/>
                <w:rtl w:val="0"/>
                <w:lang w:val="en-US"/>
              </w:rPr>
              <w:t>Threshold</w:t>
            </w:r>
          </w:p>
        </w:tc>
        <w:tc>
          <w:tcPr>
            <w:tcW w:type="dxa" w:w="5285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after="1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开始前确认</w:t>
      </w:r>
    </w:p>
    <w:tbl>
      <w:tblPr>
        <w:tblW w:w="10152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600"/>
        <w:gridCol w:w="6552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3600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开始前确认</w:t>
            </w:r>
          </w:p>
        </w:tc>
        <w:tc>
          <w:tcPr>
            <w:tcW w:type="dxa" w:w="6552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确认结果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说明</w:t>
            </w:r>
          </w:p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 xml:space="preserve">多签结构 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/ 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达到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Threshold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数量的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可以恢复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各</w:t>
            </w:r>
            <w:r>
              <w:rPr>
                <w:color w:val="22302a"/>
                <w:sz w:val="16"/>
                <w:szCs w:val="16"/>
                <w:u w:color="22302a"/>
                <w:rtl w:val="0"/>
                <w:lang w:val="en-US"/>
              </w:rPr>
              <w:t>Signer</w:t>
            </w: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关键材料已找到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25" w:hRule="atLeast"/>
        </w:trPr>
        <w:tc>
          <w:tcPr>
            <w:tcW w:type="dxa" w:w="360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Regular" w:hint="eastAsia"/>
                <w:color w:val="22302a"/>
                <w:sz w:val="16"/>
                <w:szCs w:val="16"/>
                <w:u w:color="22302a"/>
                <w:rtl w:val="0"/>
                <w:lang w:val="en-US"/>
              </w:rPr>
              <w:t>多签官方入口已确认</w:t>
            </w:r>
          </w:p>
        </w:tc>
        <w:tc>
          <w:tcPr>
            <w:tcW w:type="dxa" w:w="6552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before="120"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A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备用设备仍可用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按实际操作顺序填写；不足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b w:val="1"/>
          <w:bCs w:val="1"/>
          <w:color w:val="147a56"/>
          <w:sz w:val="22"/>
          <w:szCs w:val="22"/>
          <w:u w:color="147a56"/>
          <w:rtl w:val="0"/>
        </w:rPr>
        <w:t>B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 xml:space="preserve">｜原有设备不可用 </w:t>
      </w:r>
      <w:r>
        <w:rPr>
          <w:b w:val="1"/>
          <w:bCs w:val="1"/>
          <w:color w:val="147a56"/>
          <w:sz w:val="22"/>
          <w:szCs w:val="22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2"/>
          <w:szCs w:val="22"/>
          <w:u w:color="147a56"/>
          <w:rtl w:val="0"/>
          <w:lang w:val="en-US"/>
        </w:rPr>
        <w:t>使用新设备恢复</w:t>
      </w:r>
    </w:p>
    <w:p>
      <w:pPr>
        <w:pStyle w:val="正文"/>
        <w:spacing w:after="60"/>
      </w:pP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记录从新设备重新访问或恢复时的真实操作顺序；不足</w:t>
      </w:r>
      <w:r>
        <w:rPr>
          <w:color w:val="6f7b76"/>
          <w:sz w:val="17"/>
          <w:szCs w:val="17"/>
          <w:u w:color="6f7b76"/>
          <w:rtl w:val="0"/>
        </w:rPr>
        <w:t>10</w:t>
      </w:r>
      <w:r>
        <w:rPr>
          <w:rFonts w:eastAsia="PingFang SC Regular" w:hint="eastAsia"/>
          <w:color w:val="6f7b76"/>
          <w:sz w:val="17"/>
          <w:szCs w:val="17"/>
          <w:u w:color="6f7b76"/>
          <w:rtl w:val="0"/>
          <w:lang w:val="en-US"/>
        </w:rPr>
        <w:t>步无需填满。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824"/>
        <w:gridCol w:w="6897"/>
        <w:gridCol w:w="2849"/>
      </w:tblGrid>
      <w:tr>
        <w:tblPrEx>
          <w:shd w:val="clear" w:color="auto" w:fill="ced7e7"/>
        </w:tblPrEx>
        <w:trPr>
          <w:trHeight w:val="236" w:hRule="atLeast"/>
        </w:trPr>
        <w:tc>
          <w:tcPr>
            <w:tcW w:type="dxa" w:w="824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步骤</w:t>
            </w:r>
          </w:p>
        </w:tc>
        <w:tc>
          <w:tcPr>
            <w:tcW w:type="dxa" w:w="6896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操作内容</w:t>
            </w:r>
          </w:p>
        </w:tc>
        <w:tc>
          <w:tcPr>
            <w:tcW w:type="dxa" w:w="2848"/>
            <w:tcBorders>
              <w:top w:val="single" w:color="147a56" w:sz="7" w:space="0" w:shadow="0" w:frame="0"/>
              <w:left w:val="single" w:color="147a56" w:sz="7" w:space="0" w:shadow="0" w:frame="0"/>
              <w:bottom w:val="single" w:color="91a39a" w:sz="6" w:space="0" w:shadow="0" w:frame="0"/>
              <w:right w:val="single" w:color="147a56" w:sz="7" w:space="0" w:shadow="0" w:frame="0"/>
            </w:tcBorders>
            <w:shd w:val="clear" w:color="auto" w:fill="147a5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必要提示 </w:t>
            </w:r>
            <w:r>
              <w:rPr>
                <w:b w:val="1"/>
                <w:bCs w:val="1"/>
                <w:color w:val="ffffff"/>
                <w:sz w:val="16"/>
                <w:szCs w:val="16"/>
                <w:u w:color="ffffff"/>
                <w:rtl w:val="0"/>
                <w:lang w:val="en-US"/>
              </w:rPr>
              <w:t xml:space="preserve">/ </w:t>
            </w:r>
            <w:r>
              <w:rPr>
                <w:rFonts w:eastAsia="PingFang SC Semibold" w:hint="eastAsia"/>
                <w:color w:val="ffffff"/>
                <w:sz w:val="16"/>
                <w:szCs w:val="16"/>
                <w:u w:color="ffffff"/>
                <w:rtl w:val="0"/>
                <w:lang w:val="en-US"/>
              </w:rPr>
              <w:t>结果</w:t>
            </w:r>
          </w:p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2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3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4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5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6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7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8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9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465" w:hRule="atLeast"/>
        </w:trPr>
        <w:tc>
          <w:tcPr>
            <w:tcW w:type="dxa" w:w="824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  <w:jc w:val="center"/>
            </w:pPr>
            <w:r>
              <w:rPr>
                <w:b w:val="1"/>
                <w:bCs w:val="1"/>
                <w:color w:val="147a56"/>
                <w:sz w:val="16"/>
                <w:szCs w:val="16"/>
                <w:u w:color="147a56"/>
                <w:rtl w:val="0"/>
                <w:lang w:val="en-US"/>
              </w:rPr>
              <w:t>10</w:t>
            </w:r>
          </w:p>
        </w:tc>
        <w:tc>
          <w:tcPr>
            <w:tcW w:type="dxa" w:w="6896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848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正文"/>
        <w:widowControl w:val="0"/>
        <w:spacing w:after="60" w:line="240" w:lineRule="auto"/>
        <w:jc w:val="center"/>
      </w:pP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572" w:hRule="atLeast"/>
        </w:trPr>
        <w:tc>
          <w:tcPr>
            <w:tcW w:type="dxa" w:w="10570"/>
            <w:tcBorders>
              <w:top w:val="single" w:color="e8d8a7" w:sz="5" w:space="0" w:shadow="0" w:frame="0"/>
              <w:left w:val="single" w:color="e8d8a7" w:sz="5" w:space="0" w:shadow="0" w:frame="0"/>
              <w:bottom w:val="single" w:color="e8d8a7" w:sz="5" w:space="0" w:shadow="0" w:frame="0"/>
              <w:right w:val="single" w:color="e8d8a7" w:sz="5" w:space="0" w:shadow="0" w:frame="0"/>
            </w:tcBorders>
            <w:shd w:val="clear" w:color="auto" w:fill="fff6df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rFonts w:eastAsia="PingFang SC Semibold" w:hint="eastAsia"/>
                <w:color w:val="147a56"/>
                <w:sz w:val="18"/>
                <w:szCs w:val="18"/>
                <w:u w:color="147a56"/>
                <w:rtl w:val="0"/>
                <w:lang w:val="en-US"/>
              </w:rPr>
              <w:t>重要提示｜</w:t>
            </w:r>
            <w:r>
              <w:rPr>
                <w:rFonts w:eastAsia="PingFang SC Regular" w:hint="eastAsia"/>
                <w:color w:val="22302a"/>
                <w:sz w:val="18"/>
                <w:szCs w:val="18"/>
                <w:u w:color="22302a"/>
                <w:rtl w:val="0"/>
                <w:lang w:val="en-US"/>
              </w:rPr>
              <w:t>先确认账户或钱包已经成功恢复，再根据实际法律、税务、安全和个人安排决定是否执行资产转移。恢复成功不等于必须立即转移。</w:t>
            </w:r>
          </w:p>
        </w:tc>
      </w:tr>
    </w:tbl>
    <w:p>
      <w:pPr>
        <w:pStyle w:val="正文"/>
        <w:widowControl w:val="0"/>
        <w:spacing w:after="60" w:line="240" w:lineRule="auto"/>
        <w:jc w:val="center"/>
      </w:pPr>
    </w:p>
    <w:p>
      <w:pPr>
        <w:pStyle w:val="正文"/>
        <w:spacing w:before="120" w:after="60"/>
      </w:pP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 xml:space="preserve">其他说明 </w:t>
      </w:r>
      <w:r>
        <w:rPr>
          <w:b w:val="1"/>
          <w:bCs w:val="1"/>
          <w:color w:val="147a56"/>
          <w:sz w:val="21"/>
          <w:szCs w:val="21"/>
          <w:u w:color="147a56"/>
          <w:rtl w:val="0"/>
        </w:rPr>
        <w:t xml:space="preserve">/ </w:t>
      </w:r>
      <w:r>
        <w:rPr>
          <w:rFonts w:eastAsia="PingFang SC Semibold" w:hint="eastAsia"/>
          <w:color w:val="147a56"/>
          <w:sz w:val="21"/>
          <w:szCs w:val="21"/>
          <w:u w:color="147a56"/>
          <w:rtl w:val="0"/>
          <w:lang w:val="en-US"/>
        </w:rPr>
        <w:t>特殊情况</w:t>
      </w:r>
    </w:p>
    <w:tbl>
      <w:tblPr>
        <w:tblW w:w="10570" w:type="dxa"/>
        <w:jc w:val="center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0570"/>
      </w:tblGrid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  <w:tr>
        <w:tblPrEx>
          <w:shd w:val="clear" w:color="auto" w:fill="ced7e7"/>
        </w:tblPrEx>
        <w:trPr>
          <w:trHeight w:val="485" w:hRule="atLeast"/>
        </w:trPr>
        <w:tc>
          <w:tcPr>
            <w:tcW w:type="dxa" w:w="10570"/>
            <w:tcBorders>
              <w:top w:val="single" w:color="91a39a" w:sz="6" w:space="0" w:shadow="0" w:frame="0"/>
              <w:left w:val="single" w:color="91a39a" w:sz="6" w:space="0" w:shadow="0" w:frame="0"/>
              <w:bottom w:val="single" w:color="91a39a" w:sz="6" w:space="0" w:shadow="0" w:frame="0"/>
              <w:right w:val="single" w:color="91a39a" w:sz="6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正文"/>
            </w:pPr>
            <w:r>
              <w:rPr>
                <w:color w:val="22302a"/>
                <w:sz w:val="18"/>
                <w:szCs w:val="18"/>
                <w:u w:color="22302a"/>
                <w:rtl w:val="0"/>
                <w:lang w:val="en-US"/>
              </w:rPr>
              <w:t xml:space="preserve"> </w:t>
            </w:r>
          </w:p>
        </w:tc>
      </w:tr>
    </w:tbl>
    <w:p>
      <w:pPr>
        <w:pStyle w:val="正文"/>
        <w:widowControl w:val="0"/>
        <w:spacing w:before="120" w:after="60" w:line="240" w:lineRule="auto"/>
        <w:jc w:val="center"/>
      </w:pPr>
      <w:r/>
    </w:p>
    <w:sectPr>
      <w:headerReference w:type="default" r:id="rId4"/>
      <w:footerReference w:type="default" r:id="rId5"/>
      <w:headerReference w:type="first" r:id="rId7"/>
      <w:headerReference w:type="even" r:id="rId8"/>
      <w:pgSz w:w="12240" w:h="15840" w:orient="portrait"/>
      <w:pgMar w:top="648" w:right="835" w:bottom="648" w:left="835" w:header="461" w:footer="25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PingFang SC Regular">
    <w:charset w:val="00"/>
    <w:family w:val="roman"/>
    <w:pitch w:val="default"/>
  </w:font>
  <w:font w:name="PingFang SC Semibold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footer"/>
      <w:jc w:val="center"/>
    </w:pPr>
    <w:r>
      <w:rPr>
        <w:color w:val="6f7b76"/>
        <w:sz w:val="16"/>
        <w:szCs w:val="16"/>
        <w:u w:color="6f7b76"/>
        <w:rtl w:val="0"/>
        <w:lang w:val="en-US"/>
        <w:noProof/>
      </w:rPr>
      <w:t xml:space="preserve">L⁠E⁠G⁠A⁠V⁠I⁠K  </w:t>
    </w:r>
    <w:r>
      <w:rPr>
        <w:color w:val="6f7b76"/>
        <w:sz w:val="16"/>
        <w:szCs w:val="16"/>
        <w:u w:color="6f7b76"/>
        <w:rtl w:val="0"/>
        <w:lang w:val="en-US"/>
      </w:rPr>
      <w:t xml:space="preserve">·  </w:t>
    </w:r>
    <w:r>
      <w:rPr>
        <w:color w:val="6f7b76"/>
        <w:sz w:val="16"/>
        <w:szCs w:val="16"/>
        <w:u w:color="6f7b76"/>
        <w:rtl w:val="0"/>
        <w:lang w:val="en-US"/>
      </w:rPr>
      <w:t>Recovery Map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0" w:line="240" w:lineRule="auto"/>
      <w:jc w:val="left"/>
    </w:pPr>
    <w:r>
      <w:rPr>
        <w:rFonts w:ascii="Arial" w:hAnsi="Arial" w:eastAsia="Arial"/>
        <w:b/>
        <w:color w:val="0B4F3C"/>
        <w:sz w:val="18"/>
        <w:noProof/>
      </w:rPr>
      <w:t>L⁠E⁠G⁠A⁠V⁠I⁠K · Recovery Map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页眉与页脚">
    <w:name w:val="页眉与页脚"/>
    <w:next w:val="页眉与页脚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</w:rPr>
  </w:style>
  <w:style w:type="paragraph" w:styleId="footer">
    <w:name w:val="footer"/>
    <w:next w:val="footer"/>
    <w:pPr>
      <w:keepNext w:val="0"/>
      <w:keepLines w:val="0"/>
      <w:pageBreakBefore w:val="0"/>
      <w:widowControl w:val="1"/>
      <w:shd w:val="clear" w:color="auto" w:fill="auto"/>
      <w:tabs>
        <w:tab w:val="center" w:pos="4680"/>
        <w:tab w:val="right" w:pos="936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LEGAVIK Module4 恢复与转移步骤 汇总填写模板 Clean Formal V1</dc:title>
  <dc:subject>Digital Asset Recovery Infrastructure</dc:subject>
  <dc:creator>LEGAVIK</dc:creator>
  <cp:lastModifiedBy>LEGAVIK</cp:lastModifiedBy>
  <cp:keywords>LEGAVIK, Digital Asset Recovery &amp; Legacy, Recovery Map</cp:keywords>
</cp:coreProperties>
</file>