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spacing w:after="40"/>
      </w:pPr>
      <w:r>
        <w:rPr>
          <w:color w:val="6f7b76"/>
          <w:sz w:val="18"/>
          <w:szCs w:val="18"/>
          <w:u w:color="6f7b76"/>
          <w:rtl w:val="0"/>
          <w:lang w:val="en-US"/>
        </w:rPr>
        <w:t xml:space="preserve">SKREK  /  Recovery Map </w:t>
      </w:r>
      <w:r>
        <w:rPr>
          <w:rFonts w:eastAsia="PingFang SC Regular" w:hint="eastAsia"/>
          <w:color w:val="6f7b76"/>
          <w:sz w:val="18"/>
          <w:szCs w:val="18"/>
          <w:u w:color="6f7b76"/>
          <w:rtl w:val="0"/>
          <w:lang w:val="en-US"/>
        </w:rPr>
        <w:t>填写工具</w:t>
      </w:r>
    </w:p>
    <w:p>
      <w:pPr>
        <w:pStyle w:val="正文"/>
        <w:spacing w:after="60"/>
      </w:pP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模块</w:t>
      </w:r>
      <w:r>
        <w:rPr>
          <w:b w:val="1"/>
          <w:bCs w:val="1"/>
          <w:color w:val="147a56"/>
          <w:sz w:val="44"/>
          <w:szCs w:val="44"/>
          <w:u w:color="147a56"/>
          <w:rtl w:val="0"/>
        </w:rPr>
        <w:t>4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｜恢复与转移步骤｜汇总平台填写模板</w:t>
      </w:r>
    </w:p>
    <w:p>
      <w:pPr>
        <w:pStyle w:val="正文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按不同账户类型和设备状态，记录实际登录、恢复和必要转移的操作顺序。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2519" w:hRule="atLeast"/>
        </w:trPr>
        <w:tc>
          <w:tcPr>
            <w:tcW w:type="dxa" w:w="10570"/>
            <w:tcBorders>
              <w:top w:val="single" w:color="ddebe4" w:sz="5" w:space="0" w:shadow="0" w:frame="0"/>
              <w:left w:val="single" w:color="ddebe4" w:sz="5" w:space="0" w:shadow="0" w:frame="0"/>
              <w:bottom w:val="single" w:color="ddebe4" w:sz="5" w:space="0" w:shadow="0" w:frame="0"/>
              <w:right w:val="single" w:color="ddebe4" w:sz="5" w:space="0" w:shadow="0" w:frame="0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rPr/>
            </w:pPr>
            <w:r>
              <w:rPr>
                <w:rFonts w:eastAsia="PingFang SC Semibold" w:hint="eastAsia"/>
                <w:color w:val="147a56"/>
                <w:sz w:val="22"/>
                <w:szCs w:val="22"/>
                <w:u w:color="147a56"/>
                <w:rtl w:val="0"/>
                <w:lang w:val="en-US"/>
              </w:rPr>
              <w:t>模板说明</w:t>
            </w:r>
          </w:p>
          <w:p>
            <w:pPr>
              <w:pStyle w:val="正文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本模板是本模块电子填写内容的辅助整理工具。可以与线上填写内容配合使用，也可以上传其他文字、图片、音频或自定义附件作为补充。</w:t>
            </w:r>
          </w:p>
          <w:p>
            <w:pPr>
              <w:pStyle w:val="正文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同一账户在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原有 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备用设备仍可用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和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原有设备不可用 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使用新设备恢复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两种情况下，操作路径可能明显不同，因此分别记录。</w:t>
            </w:r>
          </w:p>
          <w:p>
            <w:pPr>
              <w:pStyle w:val="正文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正式产品可根据模块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1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已经选择的平台类型和数量，自动生成相应的填写页；本评审版同时展示四类账户，便于统一检查。</w:t>
            </w:r>
          </w:p>
          <w:p>
            <w:pPr>
              <w:pStyle w:val="正文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建议先完成模块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2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所需恢复条件和模块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3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位置与查找信息，再填写本模块。步骤应以真实账户、官方流程或实际演练结果为准。</w:t>
            </w:r>
          </w:p>
          <w:p>
            <w:pPr>
              <w:pStyle w:val="正文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涉及助记词或私钥时，只记录操作方式和顺序，不要在本模板中填写完整内容。</w:t>
            </w:r>
          </w:p>
        </w:tc>
      </w:tr>
    </w:tbl>
    <w:p>
      <w:pPr>
        <w:pStyle w:val="正文"/>
        <w:widowControl w:val="0"/>
        <w:spacing w:after="160" w:line="240" w:lineRule="auto"/>
        <w:jc w:val="center"/>
      </w:pPr>
    </w:p>
    <w:p>
      <w:pPr>
        <w:pStyle w:val="正文"/>
        <w:spacing w:before="140" w:after="8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不同账户类型的填写重点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3096"/>
        <w:gridCol w:w="4824"/>
      </w:tblGrid>
      <w:tr>
        <w:tblPrEx>
          <w:shd w:val="clear" w:color="auto" w:fill="ced7e7"/>
        </w:tblPrEx>
        <w:trPr>
          <w:trHeight w:val="256" w:hRule="atLeast"/>
        </w:trPr>
        <w:tc>
          <w:tcPr>
            <w:tcW w:type="dxa" w:w="223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7"/>
                <w:szCs w:val="17"/>
                <w:u w:color="ffffff"/>
                <w:rtl w:val="0"/>
                <w:lang w:val="en-US"/>
              </w:rPr>
              <w:t>类型</w:t>
            </w:r>
          </w:p>
        </w:tc>
        <w:tc>
          <w:tcPr>
            <w:tcW w:type="dxa" w:w="30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7"/>
                <w:szCs w:val="17"/>
                <w:u w:color="ffffff"/>
                <w:rtl w:val="0"/>
                <w:lang w:val="en-US"/>
              </w:rPr>
              <w:t>适用对象</w:t>
            </w:r>
          </w:p>
        </w:tc>
        <w:tc>
          <w:tcPr>
            <w:tcW w:type="dxa" w:w="4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7"/>
                <w:szCs w:val="17"/>
                <w:u w:color="ffffff"/>
                <w:rtl w:val="0"/>
                <w:lang w:val="en-US"/>
              </w:rPr>
              <w:t>步骤重点</w:t>
            </w:r>
          </w:p>
        </w:tc>
      </w:tr>
      <w:tr>
        <w:tblPrEx>
          <w:shd w:val="clear" w:color="auto" w:fill="ced7e7"/>
        </w:tblPrEx>
        <w:trPr>
          <w:trHeight w:val="451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A</w:t>
            </w:r>
            <w:r>
              <w:rPr>
                <w:rFonts w:eastAsia="PingFang SC Semibold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｜中心化交易所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Binance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OKX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Coinbase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登录验证、账户恢复、身份核验、安全检查及必要转移</w:t>
            </w:r>
          </w:p>
        </w:tc>
      </w:tr>
      <w:tr>
        <w:tblPrEx>
          <w:shd w:val="clear" w:color="auto" w:fill="ced7e7"/>
        </w:tblPrEx>
        <w:trPr>
          <w:trHeight w:val="451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B</w:t>
            </w:r>
            <w:r>
              <w:rPr>
                <w:rFonts w:eastAsia="PingFang SC Semibold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｜</w:t>
            </w: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DEX / DeFi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Uniswap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Aave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先恢复关联钱包，再重新连接协议并核对仓位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授权</w:t>
            </w:r>
          </w:p>
        </w:tc>
      </w:tr>
      <w:tr>
        <w:tblPrEx>
          <w:shd w:val="clear" w:color="auto" w:fill="ced7e7"/>
        </w:tblPrEx>
        <w:trPr>
          <w:trHeight w:val="451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C</w:t>
            </w:r>
            <w:r>
              <w:rPr>
                <w:rFonts w:eastAsia="PingFang SC Semibold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｜自托管钱包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热钱包、冷钱包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原设备解锁或新设备导入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恢复、核对地址与资产</w:t>
            </w:r>
          </w:p>
        </w:tc>
      </w:tr>
      <w:tr>
        <w:tblPrEx>
          <w:shd w:val="clear" w:color="auto" w:fill="ced7e7"/>
        </w:tblPrEx>
        <w:trPr>
          <w:trHeight w:val="451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D</w:t>
            </w:r>
            <w:r>
              <w:rPr>
                <w:rFonts w:eastAsia="PingFang SC Semibold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｜多签钱包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Safe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恢复达到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Threshold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数量的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，再完成提案、签名与执行</w:t>
            </w:r>
          </w:p>
        </w:tc>
      </w:tr>
    </w:tbl>
    <w:p>
      <w:pPr>
        <w:pStyle w:val="正文"/>
        <w:widowControl w:val="0"/>
        <w:spacing w:before="140" w:after="80" w:line="240" w:lineRule="auto"/>
        <w:jc w:val="center"/>
      </w:pPr>
    </w:p>
    <w:p>
      <w:pPr>
        <w:pStyle w:val="正文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使用方式</w:t>
      </w:r>
    </w:p>
    <w:p>
      <w:pPr>
        <w:pStyle w:val="正文"/>
        <w:spacing w:after="40"/>
      </w:pPr>
      <w:r>
        <w:rPr>
          <w:color w:val="22302a"/>
          <w:sz w:val="18"/>
          <w:szCs w:val="18"/>
          <w:u w:color="22302a"/>
          <w:rtl w:val="0"/>
          <w:lang w:val="en-US"/>
        </w:rPr>
        <w:t>• “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汇总平台填写模板</w:t>
      </w:r>
      <w:r>
        <w:rPr>
          <w:color w:val="22302a"/>
          <w:sz w:val="18"/>
          <w:szCs w:val="18"/>
          <w:u w:color="22302a"/>
          <w:rtl w:val="0"/>
          <w:lang w:val="en-US"/>
        </w:rPr>
        <w:t>”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 xml:space="preserve">用于在一份文件中整理多个平台 </w:t>
      </w:r>
      <w:r>
        <w:rPr>
          <w:color w:val="22302a"/>
          <w:sz w:val="18"/>
          <w:szCs w:val="18"/>
          <w:u w:color="22302a"/>
          <w:rtl w:val="0"/>
        </w:rPr>
        <w:t xml:space="preserve">/ 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钱包的恢复步骤；如某个平台情况复杂，后续可使用</w:t>
      </w:r>
      <w:r>
        <w:rPr>
          <w:color w:val="22302a"/>
          <w:sz w:val="18"/>
          <w:szCs w:val="18"/>
          <w:u w:color="22302a"/>
          <w:rtl w:val="0"/>
          <w:lang w:val="en-US"/>
        </w:rPr>
        <w:t>“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单一平台填写模板</w:t>
      </w:r>
      <w:r>
        <w:rPr>
          <w:color w:val="22302a"/>
          <w:sz w:val="18"/>
          <w:szCs w:val="18"/>
          <w:u w:color="22302a"/>
          <w:rtl w:val="0"/>
          <w:lang w:val="en-US"/>
        </w:rPr>
        <w:t>”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单独展开。</w:t>
      </w:r>
    </w:p>
    <w:p>
      <w:pPr>
        <w:pStyle w:val="正文"/>
        <w:spacing w:after="40"/>
      </w:pPr>
      <w:r>
        <w:rPr>
          <w:color w:val="22302a"/>
          <w:sz w:val="18"/>
          <w:szCs w:val="18"/>
          <w:u w:color="22302a"/>
          <w:rtl w:val="0"/>
          <w:lang w:val="en-US"/>
        </w:rPr>
        <w:t xml:space="preserve">• 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每种场景最多预留</w:t>
      </w:r>
      <w:r>
        <w:rPr>
          <w:color w:val="22302a"/>
          <w:sz w:val="18"/>
          <w:szCs w:val="18"/>
          <w:u w:color="22302a"/>
          <w:rtl w:val="0"/>
        </w:rPr>
        <w:t>10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步，不足</w:t>
      </w:r>
      <w:r>
        <w:rPr>
          <w:color w:val="22302a"/>
          <w:sz w:val="18"/>
          <w:szCs w:val="18"/>
          <w:u w:color="22302a"/>
          <w:rtl w:val="0"/>
        </w:rPr>
        <w:t>10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步无需填满。步骤较多时可在</w:t>
      </w:r>
      <w:r>
        <w:rPr>
          <w:color w:val="22302a"/>
          <w:sz w:val="18"/>
          <w:szCs w:val="18"/>
          <w:u w:color="22302a"/>
          <w:rtl w:val="0"/>
          <w:lang w:val="en-US"/>
        </w:rPr>
        <w:t>“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 xml:space="preserve">其他说明 </w:t>
      </w:r>
      <w:r>
        <w:rPr>
          <w:color w:val="22302a"/>
          <w:sz w:val="18"/>
          <w:szCs w:val="18"/>
          <w:u w:color="22302a"/>
          <w:rtl w:val="0"/>
        </w:rPr>
        <w:t xml:space="preserve">/ 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特殊情况</w:t>
      </w:r>
      <w:r>
        <w:rPr>
          <w:color w:val="22302a"/>
          <w:sz w:val="18"/>
          <w:szCs w:val="18"/>
          <w:u w:color="22302a"/>
          <w:rtl w:val="0"/>
          <w:lang w:val="en-US"/>
        </w:rPr>
        <w:t>”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继续补充。</w:t>
      </w:r>
    </w:p>
    <w:p>
      <w:pPr>
        <w:pStyle w:val="正文"/>
        <w:spacing w:after="40"/>
      </w:pPr>
      <w:r>
        <w:rPr>
          <w:color w:val="22302a"/>
          <w:sz w:val="18"/>
          <w:szCs w:val="18"/>
          <w:u w:color="22302a"/>
          <w:rtl w:val="0"/>
          <w:lang w:val="en-US"/>
        </w:rPr>
        <w:t xml:space="preserve">• 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填写完成后，可将本文件作为本模块附件上传，也可以保存在自己的设备中。</w:t>
      </w:r>
    </w:p>
    <w:p>
      <w:pPr>
        <w:pStyle w:val="正文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正文"/>
        <w:spacing w:after="40"/>
      </w:pPr>
      <w:r>
        <w:rPr>
          <w:color w:val="6f7b76"/>
          <w:sz w:val="18"/>
          <w:szCs w:val="18"/>
          <w:u w:color="6f7b76"/>
          <w:rtl w:val="0"/>
          <w:lang w:val="en-US"/>
        </w:rPr>
        <w:t xml:space="preserve">SKREK  /  Recovery Map </w:t>
      </w:r>
      <w:r>
        <w:rPr>
          <w:rFonts w:eastAsia="PingFang SC Regular" w:hint="eastAsia"/>
          <w:color w:val="6f7b76"/>
          <w:sz w:val="18"/>
          <w:szCs w:val="18"/>
          <w:u w:color="6f7b76"/>
          <w:rtl w:val="0"/>
          <w:lang w:val="en-US"/>
        </w:rPr>
        <w:t>填写工具</w:t>
      </w:r>
    </w:p>
    <w:p>
      <w:pPr>
        <w:pStyle w:val="正文"/>
        <w:spacing w:after="60"/>
      </w:pPr>
      <w:r>
        <w:rPr>
          <w:b w:val="1"/>
          <w:bCs w:val="1"/>
          <w:color w:val="147a56"/>
          <w:sz w:val="44"/>
          <w:szCs w:val="44"/>
          <w:u w:color="147a56"/>
          <w:rtl w:val="0"/>
        </w:rPr>
        <w:t>A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｜中心化交易所填写页</w:t>
      </w:r>
    </w:p>
    <w:p>
      <w:pPr>
        <w:pStyle w:val="正文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 xml:space="preserve">用于记录中心化交易所在原有 </w:t>
      </w:r>
      <w:r>
        <w:rPr>
          <w:color w:val="6f7b76"/>
          <w:sz w:val="22"/>
          <w:szCs w:val="22"/>
          <w:u w:color="6f7b76"/>
          <w:rtl w:val="0"/>
        </w:rPr>
        <w:t xml:space="preserve">/ 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备用设备可用或需要新设备恢复时的操作步骤。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交易所名称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账户 </w:t>
            </w:r>
            <w:r>
              <w:rPr>
                <w:b w:val="1"/>
                <w:bCs w:val="1"/>
                <w:color w:val="22302a"/>
                <w:sz w:val="18"/>
                <w:szCs w:val="18"/>
                <w:u w:color="22302a"/>
                <w:rtl w:val="0"/>
                <w:lang w:val="en-US"/>
              </w:rPr>
              <w:t>/ UID / Username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交易所注册邮箱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交易所注册手机号（如使用）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60" w:line="240" w:lineRule="auto"/>
        <w:jc w:val="center"/>
      </w:pPr>
    </w:p>
    <w:p>
      <w:pPr>
        <w:pStyle w:val="正文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模块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2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所需恢复条件已准备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模块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3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关键材料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设备已找到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正在使用交易所官方入口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后续接收地址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before="120" w:after="60" w:line="240" w:lineRule="auto"/>
        <w:jc w:val="center"/>
      </w:pPr>
    </w:p>
    <w:p>
      <w:pPr>
        <w:pStyle w:val="正文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按实际操作顺序填写；不足</w:t>
      </w:r>
      <w:r>
        <w:rPr>
          <w:color w:val="6f7b76"/>
          <w:sz w:val="17"/>
          <w:szCs w:val="17"/>
          <w:u w:color="6f7b76"/>
          <w:rtl w:val="0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6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72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147a56"/>
                <w:sz w:val="18"/>
                <w:szCs w:val="18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  <w:spacing w:before="12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8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8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20" w:after="60" w:line="240" w:lineRule="auto"/>
        <w:jc w:val="center"/>
      </w:pPr>
    </w:p>
    <w:p>
      <w:pPr>
        <w:pStyle w:val="正文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正文"/>
        <w:spacing w:after="40"/>
      </w:pPr>
      <w:r>
        <w:rPr>
          <w:color w:val="6f7b76"/>
          <w:sz w:val="18"/>
          <w:szCs w:val="18"/>
          <w:u w:color="6f7b76"/>
          <w:rtl w:val="0"/>
          <w:lang w:val="en-US"/>
        </w:rPr>
        <w:t xml:space="preserve">SKREK  /  Recovery Map </w:t>
      </w:r>
      <w:r>
        <w:rPr>
          <w:rFonts w:eastAsia="PingFang SC Regular" w:hint="eastAsia"/>
          <w:color w:val="6f7b76"/>
          <w:sz w:val="18"/>
          <w:szCs w:val="18"/>
          <w:u w:color="6f7b76"/>
          <w:rtl w:val="0"/>
          <w:lang w:val="en-US"/>
        </w:rPr>
        <w:t>填写工具</w:t>
      </w:r>
    </w:p>
    <w:p>
      <w:pPr>
        <w:pStyle w:val="正文"/>
        <w:spacing w:after="60"/>
      </w:pPr>
      <w:r>
        <w:rPr>
          <w:b w:val="1"/>
          <w:bCs w:val="1"/>
          <w:color w:val="147a56"/>
          <w:sz w:val="44"/>
          <w:szCs w:val="44"/>
          <w:u w:color="147a56"/>
          <w:rtl w:val="0"/>
        </w:rPr>
        <w:t>B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</w:t>
      </w:r>
      <w:r>
        <w:rPr>
          <w:b w:val="1"/>
          <w:bCs w:val="1"/>
          <w:color w:val="147a56"/>
          <w:sz w:val="44"/>
          <w:szCs w:val="44"/>
          <w:u w:color="147a56"/>
          <w:rtl w:val="0"/>
          <w:lang w:val="da-DK"/>
        </w:rPr>
        <w:t>DEX / DeFi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填写页</w:t>
      </w:r>
    </w:p>
    <w:p>
      <w:pPr>
        <w:pStyle w:val="正文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先恢复关联钱包，再记录重新连接协议和必要操作的实际步骤。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协议 </w:t>
            </w:r>
            <w:r>
              <w:rPr>
                <w:b w:val="1"/>
                <w:bCs w:val="1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平台名称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关联钱包名称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60" w:line="240" w:lineRule="auto"/>
        <w:jc w:val="center"/>
      </w:pPr>
    </w:p>
    <w:p>
      <w:pPr>
        <w:pStyle w:val="正文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关联钱包恢复条件已准备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关联钱包关键材料已找到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协议官方入口已确认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后续资产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仓位处理方案已确认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before="120" w:after="60" w:line="240" w:lineRule="auto"/>
        <w:jc w:val="center"/>
      </w:pPr>
    </w:p>
    <w:p>
      <w:pPr>
        <w:pStyle w:val="正文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按实际操作顺序填写；不足</w:t>
      </w:r>
      <w:r>
        <w:rPr>
          <w:color w:val="6f7b76"/>
          <w:sz w:val="17"/>
          <w:szCs w:val="17"/>
          <w:u w:color="6f7b76"/>
          <w:rtl w:val="0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6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72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147a56"/>
                <w:sz w:val="18"/>
                <w:szCs w:val="18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  <w:spacing w:before="12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8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8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20" w:after="60" w:line="240" w:lineRule="auto"/>
        <w:jc w:val="center"/>
      </w:pPr>
    </w:p>
    <w:p>
      <w:pPr>
        <w:pStyle w:val="正文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正文"/>
        <w:spacing w:after="40"/>
      </w:pPr>
      <w:r>
        <w:rPr>
          <w:color w:val="6f7b76"/>
          <w:sz w:val="18"/>
          <w:szCs w:val="18"/>
          <w:u w:color="6f7b76"/>
          <w:rtl w:val="0"/>
          <w:lang w:val="en-US"/>
        </w:rPr>
        <w:t xml:space="preserve">SKREK  /  Recovery Map </w:t>
      </w:r>
      <w:r>
        <w:rPr>
          <w:rFonts w:eastAsia="PingFang SC Regular" w:hint="eastAsia"/>
          <w:color w:val="6f7b76"/>
          <w:sz w:val="18"/>
          <w:szCs w:val="18"/>
          <w:u w:color="6f7b76"/>
          <w:rtl w:val="0"/>
          <w:lang w:val="en-US"/>
        </w:rPr>
        <w:t>填写工具</w:t>
      </w:r>
    </w:p>
    <w:p>
      <w:pPr>
        <w:pStyle w:val="正文"/>
        <w:spacing w:after="60"/>
      </w:pPr>
      <w:r>
        <w:rPr>
          <w:b w:val="1"/>
          <w:bCs w:val="1"/>
          <w:color w:val="147a56"/>
          <w:sz w:val="44"/>
          <w:szCs w:val="44"/>
          <w:u w:color="147a56"/>
          <w:rtl w:val="0"/>
        </w:rPr>
        <w:t>C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｜自托管钱包填写页</w:t>
      </w:r>
    </w:p>
    <w:p>
      <w:pPr>
        <w:pStyle w:val="正文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适用于热钱包和冷钱包。记录原设备可用或新设备恢复时的实际操作顺序。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钱包名称 </w:t>
            </w:r>
            <w:r>
              <w:rPr>
                <w:b w:val="1"/>
                <w:bCs w:val="1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品牌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钱包类别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钱包使用软件（如需要）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60" w:line="240" w:lineRule="auto"/>
        <w:jc w:val="center"/>
      </w:pPr>
    </w:p>
    <w:p>
      <w:pPr>
        <w:pStyle w:val="正文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钱包恢复条件已准备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关键恢复材料已找到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官方软件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设备来源已确认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目标地址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后续处理方案已确认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before="120" w:after="60" w:line="240" w:lineRule="auto"/>
        <w:jc w:val="center"/>
      </w:pPr>
    </w:p>
    <w:p>
      <w:pPr>
        <w:pStyle w:val="正文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按实际操作顺序填写；不足</w:t>
      </w:r>
      <w:r>
        <w:rPr>
          <w:color w:val="6f7b76"/>
          <w:sz w:val="17"/>
          <w:szCs w:val="17"/>
          <w:u w:color="6f7b76"/>
          <w:rtl w:val="0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6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72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147a56"/>
                <w:sz w:val="18"/>
                <w:szCs w:val="18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  <w:spacing w:before="12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8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8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20" w:after="60" w:line="240" w:lineRule="auto"/>
        <w:jc w:val="center"/>
      </w:pPr>
    </w:p>
    <w:p>
      <w:pPr>
        <w:pStyle w:val="正文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正文"/>
        <w:spacing w:after="40"/>
      </w:pPr>
      <w:r>
        <w:rPr>
          <w:color w:val="6f7b76"/>
          <w:sz w:val="18"/>
          <w:szCs w:val="18"/>
          <w:u w:color="6f7b76"/>
          <w:rtl w:val="0"/>
          <w:lang w:val="en-US"/>
        </w:rPr>
        <w:t xml:space="preserve">SKREK  /  Recovery Map </w:t>
      </w:r>
      <w:r>
        <w:rPr>
          <w:rFonts w:eastAsia="PingFang SC Regular" w:hint="eastAsia"/>
          <w:color w:val="6f7b76"/>
          <w:sz w:val="18"/>
          <w:szCs w:val="18"/>
          <w:u w:color="6f7b76"/>
          <w:rtl w:val="0"/>
          <w:lang w:val="en-US"/>
        </w:rPr>
        <w:t>填写工具</w:t>
      </w:r>
    </w:p>
    <w:p>
      <w:pPr>
        <w:pStyle w:val="正文"/>
        <w:spacing w:after="60"/>
      </w:pPr>
      <w:r>
        <w:rPr>
          <w:b w:val="1"/>
          <w:bCs w:val="1"/>
          <w:color w:val="147a56"/>
          <w:sz w:val="44"/>
          <w:szCs w:val="44"/>
          <w:u w:color="147a56"/>
          <w:rtl w:val="0"/>
        </w:rPr>
        <w:t>D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｜多签钱包填写页</w:t>
      </w:r>
    </w:p>
    <w:p>
      <w:pPr>
        <w:pStyle w:val="正文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记录恢复达到</w:t>
      </w:r>
      <w:r>
        <w:rPr>
          <w:color w:val="6f7b76"/>
          <w:sz w:val="22"/>
          <w:szCs w:val="22"/>
          <w:u w:color="6f7b76"/>
          <w:rtl w:val="0"/>
          <w:lang w:val="da-DK"/>
        </w:rPr>
        <w:t>Threshold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数量的</w:t>
      </w:r>
      <w:r>
        <w:rPr>
          <w:color w:val="6f7b76"/>
          <w:sz w:val="22"/>
          <w:szCs w:val="22"/>
          <w:u w:color="6f7b76"/>
          <w:rtl w:val="0"/>
          <w:lang w:val="da-DK"/>
        </w:rPr>
        <w:t>Signer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，以及后续提案、签名和执行的操作步骤。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多签钱包名称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多签地址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8"/>
                <w:szCs w:val="18"/>
                <w:u w:color="22302a"/>
                <w:rtl w:val="0"/>
                <w:lang w:val="en-US"/>
              </w:rPr>
              <w:t>Signer</w:t>
            </w: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数量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8"/>
                <w:szCs w:val="18"/>
                <w:u w:color="22302a"/>
                <w:rtl w:val="0"/>
                <w:lang w:val="en-US"/>
              </w:rPr>
              <w:t>Threshold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60" w:line="240" w:lineRule="auto"/>
        <w:jc w:val="center"/>
      </w:pPr>
    </w:p>
    <w:p>
      <w:pPr>
        <w:pStyle w:val="正文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多签结构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/ Threshold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达到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Threshold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数量的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可以恢复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各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关键材料已找到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多签官方入口已确认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before="120" w:after="60" w:line="240" w:lineRule="auto"/>
        <w:jc w:val="center"/>
      </w:pPr>
    </w:p>
    <w:p>
      <w:pPr>
        <w:pStyle w:val="正文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按实际操作顺序填写；不足</w:t>
      </w:r>
      <w:r>
        <w:rPr>
          <w:color w:val="6f7b76"/>
          <w:sz w:val="17"/>
          <w:szCs w:val="17"/>
          <w:u w:color="6f7b76"/>
          <w:rtl w:val="0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6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72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147a56"/>
                <w:sz w:val="18"/>
                <w:szCs w:val="18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  <w:spacing w:before="12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8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8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20" w:after="60" w:line="240" w:lineRule="auto"/>
        <w:jc w:val="center"/>
      </w:pPr>
      <w:r/>
    </w:p>
    <w:sectPr>
      <w:headerReference w:type="default" r:id="rId4"/>
      <w:footerReference w:type="default" r:id="rId5"/>
      <w:pgSz w:w="12240" w:h="15840" w:orient="portrait"/>
      <w:pgMar w:top="648" w:right="835" w:bottom="648" w:left="835" w:header="259" w:footer="25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Regular">
    <w:charset w:val="00"/>
    <w:family w:val="roman"/>
    <w:pitch w:val="default"/>
  </w:font>
  <w:font w:name="PingFang SC Semi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color w:val="6f7b76"/>
        <w:sz w:val="16"/>
        <w:szCs w:val="16"/>
        <w:u w:color="6f7b76"/>
        <w:rtl w:val="0"/>
        <w:lang w:val="en-US"/>
      </w:rPr>
      <w:t xml:space="preserve">SKREK  </w:t>
    </w:r>
    <w:r>
      <w:rPr>
        <w:color w:val="6f7b76"/>
        <w:sz w:val="16"/>
        <w:szCs w:val="16"/>
        <w:u w:color="6f7b76"/>
        <w:rtl w:val="0"/>
        <w:lang w:val="en-US"/>
      </w:rPr>
      <w:t xml:space="preserve">·  </w:t>
    </w:r>
    <w:r>
      <w:rPr>
        <w:color w:val="6f7b76"/>
        <w:sz w:val="16"/>
        <w:szCs w:val="16"/>
        <w:u w:color="6f7b76"/>
        <w:rtl w:val="0"/>
        <w:lang w:val="en-US"/>
      </w:rPr>
      <w:t>Recovery Map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