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模块</w:t>
      </w:r>
      <w:r>
        <w:rPr>
          <w:b w:val="1"/>
          <w:bCs w:val="1"/>
          <w:color w:val="147a56"/>
          <w:sz w:val="42"/>
          <w:szCs w:val="42"/>
          <w:u w:color="147a56"/>
          <w:rtl w:val="0"/>
        </w:rPr>
        <w:t>4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｜恢复与转移步骤｜单一平台填写模板</w:t>
      </w:r>
    </w:p>
    <w:p>
      <w:pPr>
        <w:pStyle w:val="正文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适用于某一个交易所、</w:t>
      </w:r>
      <w:r>
        <w:rPr>
          <w:color w:val="6f7b76"/>
          <w:sz w:val="21"/>
          <w:szCs w:val="21"/>
          <w:u w:color="6f7b76"/>
          <w:rtl w:val="0"/>
          <w:lang w:val="da-DK"/>
        </w:rPr>
        <w:t>DEX / DeFi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、普通自托管钱包或多签钱包需要单独记录详细恢复步骤的情况。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2343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rPr/>
            </w:pPr>
            <w:r>
              <w:rPr>
                <w:rFonts w:eastAsia="PingFang SC Semibold" w:hint="eastAsia"/>
                <w:color w:val="147a56"/>
                <w:sz w:val="22"/>
                <w:szCs w:val="22"/>
                <w:u w:color="147a56"/>
                <w:rtl w:val="0"/>
                <w:lang w:val="en-US"/>
              </w:rPr>
              <w:t>模板说明</w:t>
            </w:r>
          </w:p>
          <w:p>
            <w:pPr>
              <w:pStyle w:val="正文"/>
              <w:bidi w:val="0"/>
              <w:spacing w:after="3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• 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单一平台填写模板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适用于某一个平台或钱包需要单独展开说明的情况。可以多次下载、分别填写并上传，也可以与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汇总平台填写模板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配合使用，作为某个平台更详细恢复步骤的补充。</w:t>
            </w:r>
          </w:p>
          <w:p>
            <w:pPr>
              <w:pStyle w:val="正文"/>
              <w:bidi w:val="0"/>
              <w:spacing w:after="3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为了方便填写，平台内可在线查看不同账户类型的填写示例。可点击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查看填写示例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，按照当前平台 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钱包所属类型进行参考。</w:t>
            </w:r>
          </w:p>
          <w:p>
            <w:pPr>
              <w:pStyle w:val="正文"/>
              <w:bidi w:val="0"/>
              <w:spacing w:after="3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同一账户在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原有 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备用设备仍可用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和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原有设备不可用 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使用新设备恢复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两种情况下，操作路径可能明显不同，因此分别记录。</w:t>
            </w:r>
          </w:p>
          <w:p>
            <w:pPr>
              <w:pStyle w:val="正文"/>
              <w:bidi w:val="0"/>
              <w:spacing w:after="3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建议先完成模块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2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所需恢复条件和模块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3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位置与查找信息，再填写本模块。步骤应以真实账户、官方流程或实际演练结果为准。</w:t>
            </w:r>
          </w:p>
          <w:p>
            <w:pPr>
              <w:pStyle w:val="正文"/>
              <w:bidi w:val="0"/>
              <w:spacing w:after="3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涉及助记词或私钥时，只记录操作方式和顺序，不要在本模板中填写完整内容。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4824"/>
      </w:tblGrid>
      <w:tr>
        <w:tblPrEx>
          <w:shd w:val="clear" w:color="auto" w:fill="ced7e7"/>
        </w:tblPrEx>
        <w:trPr>
          <w:trHeight w:val="256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适用对象</w:t>
            </w:r>
          </w:p>
        </w:tc>
        <w:tc>
          <w:tcPr>
            <w:tcW w:type="dxa" w:w="4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填写重点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A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｜中心化交易所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Binance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OKX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Coinbase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登录验证、账户恢复、身份核验、安全检查及必要转移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B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</w:t>
            </w: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Uniswap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Aave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先恢复关联钱包，再连接协议并核对仓位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授权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C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｜自托管钱包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热钱包、冷钱包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原设备解锁或新设备恢复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导入、核对地址与资产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D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｜多签钱包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Safe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恢复达到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Threshold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数量的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，再完成提案、签名与执行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使用方式</w:t>
      </w:r>
    </w:p>
    <w:p>
      <w:pPr>
        <w:pStyle w:val="正文"/>
        <w:spacing w:after="30"/>
      </w:pPr>
      <w:r>
        <w:rPr>
          <w:color w:val="22302a"/>
          <w:sz w:val="17"/>
          <w:szCs w:val="17"/>
          <w:u w:color="22302a"/>
          <w:rtl w:val="0"/>
          <w:lang w:val="en-US"/>
        </w:rPr>
        <w:t xml:space="preserve">• 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 xml:space="preserve">先填写平台 </w:t>
      </w:r>
      <w:r>
        <w:rPr>
          <w:color w:val="22302a"/>
          <w:sz w:val="17"/>
          <w:szCs w:val="17"/>
          <w:u w:color="22302a"/>
          <w:rtl w:val="0"/>
        </w:rPr>
        <w:t xml:space="preserve">/ 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>钱包名称，并确认账户类型；正式产品可根据所选类型只生成对应填写页。</w:t>
      </w:r>
    </w:p>
    <w:p>
      <w:pPr>
        <w:pStyle w:val="正文"/>
        <w:spacing w:after="30"/>
      </w:pPr>
      <w:r>
        <w:rPr>
          <w:color w:val="22302a"/>
          <w:sz w:val="17"/>
          <w:szCs w:val="17"/>
          <w:u w:color="22302a"/>
          <w:rtl w:val="0"/>
          <w:lang w:val="en-US"/>
        </w:rPr>
        <w:t xml:space="preserve">• 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>每种场景预留</w:t>
      </w:r>
      <w:r>
        <w:rPr>
          <w:color w:val="22302a"/>
          <w:sz w:val="17"/>
          <w:szCs w:val="17"/>
          <w:u w:color="22302a"/>
          <w:rtl w:val="0"/>
        </w:rPr>
        <w:t>8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>步，不足</w:t>
      </w:r>
      <w:r>
        <w:rPr>
          <w:color w:val="22302a"/>
          <w:sz w:val="17"/>
          <w:szCs w:val="17"/>
          <w:u w:color="22302a"/>
          <w:rtl w:val="0"/>
        </w:rPr>
        <w:t>8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>步无需填满；如步骤更多，可在</w:t>
      </w:r>
      <w:r>
        <w:rPr>
          <w:color w:val="22302a"/>
          <w:sz w:val="17"/>
          <w:szCs w:val="17"/>
          <w:u w:color="22302a"/>
          <w:rtl w:val="0"/>
          <w:lang w:val="en-US"/>
        </w:rPr>
        <w:t>“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 xml:space="preserve">其他说明 </w:t>
      </w:r>
      <w:r>
        <w:rPr>
          <w:color w:val="22302a"/>
          <w:sz w:val="17"/>
          <w:szCs w:val="17"/>
          <w:u w:color="22302a"/>
          <w:rtl w:val="0"/>
        </w:rPr>
        <w:t xml:space="preserve">/ 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>特殊情况</w:t>
      </w:r>
      <w:r>
        <w:rPr>
          <w:color w:val="22302a"/>
          <w:sz w:val="17"/>
          <w:szCs w:val="17"/>
          <w:u w:color="22302a"/>
          <w:rtl w:val="0"/>
          <w:lang w:val="en-US"/>
        </w:rPr>
        <w:t>”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>继续记录。</w:t>
      </w:r>
    </w:p>
    <w:p>
      <w:pPr>
        <w:pStyle w:val="正文"/>
        <w:spacing w:after="30"/>
      </w:pPr>
      <w:r>
        <w:rPr>
          <w:color w:val="22302a"/>
          <w:sz w:val="17"/>
          <w:szCs w:val="17"/>
          <w:u w:color="22302a"/>
          <w:rtl w:val="0"/>
          <w:lang w:val="en-US"/>
        </w:rPr>
        <w:t xml:space="preserve">• 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>填写完成后，可将本文件作为本模块附件上传，也可以只保存在自己的设备中。</w:t>
      </w:r>
    </w:p>
    <w:p>
      <w:pPr>
        <w:pStyle w:val="正文"/>
        <w:pageBreakBefore w:val="1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｜中心化交易所</w:t>
      </w:r>
    </w:p>
    <w:p>
      <w:pPr>
        <w:pStyle w:val="正文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仅当当前账户属于托管型中心化交易所时填写。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交易所名称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Binance AU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账户 </w:t>
            </w:r>
            <w:r>
              <w:rPr>
                <w:b w:val="1"/>
                <w:bCs w:val="1"/>
                <w:color w:val="22302a"/>
                <w:sz w:val="17"/>
                <w:szCs w:val="17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交易所注册邮箱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交易所注册手机号（如使用）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2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注册邮箱；2FA / Authenticator；Passkey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关键材料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设备已找到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正在使用交易所官方入口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后续接收地址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pageBreakBefore w:val="1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28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pageBreakBefore w:val="1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sectPr>
      <w:headerReference w:type="default" r:id="rId4"/>
      <w:footerReference w:type="default" r:id="rId5"/>
      <w:pgSz w:w="12240" w:h="15840" w:orient="portrait"/>
      <w:pgMar w:top="619" w:right="835" w:bottom="619" w:left="835" w:header="720" w:footer="25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f7b76"/>
        <w:sz w:val="16"/>
        <w:szCs w:val="16"/>
        <w:u w:color="6f7b76"/>
        <w:rtl w:val="0"/>
        <w:lang w:val="en-US"/>
      </w:rPr>
      <w:t xml:space="preserve">SKREK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