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rFonts w:eastAsia="PingFang SC Semibold" w:hint="eastAsia"/>
          <w:color w:val="147a56"/>
          <w:sz w:val="43"/>
          <w:szCs w:val="43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3"/>
          <w:szCs w:val="43"/>
          <w:u w:color="147a56"/>
          <w:rtl w:val="0"/>
        </w:rPr>
        <w:t>3</w:t>
      </w:r>
      <w:r>
        <w:rPr>
          <w:rFonts w:eastAsia="PingFang SC Semibold" w:hint="eastAsia"/>
          <w:color w:val="147a56"/>
          <w:sz w:val="43"/>
          <w:szCs w:val="43"/>
          <w:u w:color="147a56"/>
          <w:rtl w:val="0"/>
          <w:lang w:val="en-US"/>
        </w:rPr>
        <w:t>｜位置与查找｜单一平台填写模板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用于某一个交易所、</w:t>
      </w:r>
      <w:r>
        <w:rPr>
          <w:color w:val="6f7b76"/>
          <w:sz w:val="22"/>
          <w:szCs w:val="22"/>
          <w:u w:color="6f7b76"/>
          <w:rtl w:val="0"/>
          <w:lang w:val="da-DK"/>
        </w:rPr>
        <w:t>DEX / DeFi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、普通自托管钱包或多签钱包需要单独展开说明时使用。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3363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本模板用于单独整理某一个平台或钱包的恢复信息。若你希望在同一份文件中整理多个平台，请使用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正式产品中，客户可先在线选择账户类型，再下载只包含对应类型的单一平台模板。本评审版同时展示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4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种账户类型，便于统一检验设计。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填写时，请把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需要什么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进一步落实为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从哪里访问、保存在哪里、未来恢复人如何找到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。具体保存位置应尽量写到可以实际定位的位置，例如书房保险柜、文件柜第二层、备用手机、密码管理器中的具体条目。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凡某项条件确实不存在或不适用，建议明确填写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，不要留空。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若设备、文件、账户恢复资料或保存位置发生变化，建议及时更新本模板，确保未来恢复人看到的是最新、有效的信息。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60"/>
      </w:pPr>
      <w:r>
        <w:rPr>
          <w:rFonts w:eastAsia="PingFang SC Semibold" w:hint="eastAsia"/>
          <w:color w:val="147a56"/>
          <w:sz w:val="23"/>
          <w:szCs w:val="23"/>
          <w:u w:color="147a56"/>
          <w:rtl w:val="0"/>
          <w:lang w:val="en-US"/>
        </w:rPr>
        <w:t>使用方式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账户类型：中心化交易所 </w:t>
      </w:r>
      <w:r>
        <w:rPr>
          <w:color w:val="22302a"/>
          <w:sz w:val="18"/>
          <w:szCs w:val="18"/>
          <w:u w:color="22302a"/>
          <w:rtl w:val="0"/>
        </w:rPr>
        <w:t xml:space="preserve">/ DEX / DeFi 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自托管钱包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多签钱包。标准兼容版请手动填写；未来交互版可使用下拉选择。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平台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钱包名称由客户自定义填写。一个平台情况复杂时，可以单独下载一份本模板。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在线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查看填写示例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用于参考；正式下载的单一平台模板不携带示例内容。</w:t>
      </w:r>
    </w:p>
    <w:p>
      <w:pPr>
        <w:pStyle w:val="正文"/>
        <w:spacing w:before="140" w:after="60"/>
      </w:pPr>
      <w:r>
        <w:rPr>
          <w:rFonts w:eastAsia="PingFang SC Semibold" w:hint="eastAsia"/>
          <w:color w:val="147a56"/>
          <w:sz w:val="23"/>
          <w:szCs w:val="23"/>
          <w:u w:color="147a56"/>
          <w:rtl w:val="0"/>
          <w:lang w:val="en-US"/>
        </w:rPr>
        <w:t>账户类型与平台名称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账户类型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平台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40"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1145" w:hRule="atLeast"/>
        </w:trPr>
        <w:tc>
          <w:tcPr>
            <w:tcW w:type="dxa" w:w="10570"/>
            <w:tcBorders>
              <w:top w:val="single" w:color="e6d8b8" w:sz="5" w:space="0" w:shadow="0" w:frame="0"/>
              <w:left w:val="single" w:color="e6d8b8" w:sz="5" w:space="0" w:shadow="0" w:frame="0"/>
              <w:bottom w:val="single" w:color="e6d8b8" w:sz="5" w:space="0" w:shadow="0" w:frame="0"/>
              <w:right w:val="single" w:color="e6d8b8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恢复人阅读提示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本文件用于帮助未来恢复人定位该平台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钱包的关键恢复材料与访问路径。请优先使用本文件中记录的最新位置和官方入口；如某项明确填写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，表示该项经确认不存在或不适用，并非遗漏。</w:t>
            </w:r>
          </w:p>
        </w:tc>
      </w:tr>
    </w:tbl>
    <w:p>
      <w:pPr>
        <w:pStyle w:val="正文"/>
        <w:widowControl w:val="0"/>
        <w:spacing w:before="14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3"/>
          <w:szCs w:val="43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3"/>
          <w:szCs w:val="43"/>
          <w:u w:color="147a56"/>
          <w:rtl w:val="0"/>
          <w:lang w:val="en-US"/>
        </w:rPr>
        <w:t>｜自托管钱包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仅当当前账户属于普通热钱包或冷钱包时填写。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1519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填写重点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重点不是列出全部资产或区块链，而是记录真正用于恢复该钱包的设备、助记词、私钥（如适用）、额外口令和访问密码等，以及它们的具体保存位置。</w:t>
            </w:r>
          </w:p>
          <w:p>
            <w:pPr>
              <w:pStyle w:val="正文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没有或不适用的项目请明确填写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。不要在本模板中写入完整助记词或私钥。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Ledger Vault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60"/>
      </w:pPr>
      <w:r>
        <w:rPr>
          <w:rFonts w:eastAsia="PingFang SC Semibold" w:hint="eastAsia"/>
          <w:color w:val="147a56"/>
          <w:sz w:val="23"/>
          <w:szCs w:val="23"/>
          <w:u w:color="147a56"/>
          <w:rtl w:val="0"/>
          <w:lang w:val="en-US"/>
        </w:rPr>
        <w:t>核心恢复材料与保存位置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92"/>
        <w:gridCol w:w="3384"/>
        <w:gridCol w:w="1656"/>
      </w:tblGrid>
      <w:tr>
        <w:tblPrEx>
          <w:shd w:val="clear" w:color="auto" w:fill="4f81bd"/>
        </w:tblPrEx>
        <w:trPr>
          <w:trHeight w:val="236" w:hRule="atLeast"/>
          <w:tblHeader/>
        </w:trPr>
        <w:tc>
          <w:tcPr>
            <w:tcW w:type="dxa" w:w="252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恢复材料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条件</w:t>
            </w:r>
          </w:p>
        </w:tc>
        <w:tc>
          <w:tcPr>
            <w:tcW w:type="dxa" w:w="259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3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25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正文"/>
        <w:widowControl w:val="0"/>
        <w:spacing w:before="140" w:after="60" w:line="240" w:lineRule="auto"/>
        <w:jc w:val="center"/>
      </w:pPr>
    </w:p>
    <w:p>
      <w:pPr>
        <w:pStyle w:val="正文"/>
        <w:spacing w:before="14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40" w:after="60" w:line="240" w:lineRule="auto"/>
        <w:jc w:val="center"/>
      </w:pPr>
    </w:p>
    <w:p>
      <w:pPr>
        <w:pStyle w:val="正文"/>
        <w:pageBreakBefore w:val="1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</w:rPr>
        <w:t xml:space="preserve">SKREK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sectPr>
      <w:headerReference w:type="default" r:id="rId4"/>
      <w:footerReference w:type="default" r:id="rId5"/>
      <w:pgSz w:w="12240" w:h="15840" w:orient="portrait"/>
      <w:pgMar w:top="691" w:right="835" w:bottom="691" w:left="835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