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120" w:line="288" w:lineRule="auto"/>
      </w:pPr>
      <w:r>
        <w:rPr>
          <w:color w:val="5e6b67"/>
          <w:sz w:val="19"/>
          <w:szCs w:val="19"/>
          <w:u w:color="6e7a75"/>
          <w:rtl w:val="0"/>
          <w:lang w:val="en-US"/>
        </w:rPr>
        <w:t xml:space="preserve">SKREK </w:t>
      </w:r>
      <w:r>
        <w:rPr>
          <w:color w:val="5e6b67"/>
          <w:sz w:val="19"/>
          <w:szCs w:val="19"/>
          <w:u w:color="6e7a75"/>
          <w:rtl w:val="0"/>
          <w:lang w:val="en-US"/>
        </w:rPr>
        <w:t xml:space="preserve">· </w:t>
      </w:r>
      <w:r>
        <w:rPr>
          <w:color w:val="5e6b67"/>
          <w:sz w:val="19"/>
          <w:szCs w:val="19"/>
          <w:u w:color="6e7a75"/>
          <w:rtl w:val="0"/>
          <w:lang w:val="en-US"/>
        </w:rPr>
        <w:t>Recovery Map</w:t>
      </w:r>
    </w:p>
    <w:p>
      <w:pPr>
        <w:pStyle w:val="正文 A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｜位置与查找｜恢复信息位置汇总</w:t>
      </w:r>
    </w:p>
    <w:p>
      <w:pPr>
        <w:pStyle w:val="正文 A"/>
        <w:spacing w:line="31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6e7a75"/>
          <w:rtl w:val="0"/>
          <w:lang w:val="en-US"/>
        </w:rPr>
        <w:t>记录已确认恢复条件的具体保存位置、相关设备和访问路径，帮助未来恢复人真正找到并取得所需材料。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4577" w:hRule="atLeast"/>
        </w:trPr>
        <w:tc>
          <w:tcPr>
            <w:tcW w:type="dxa" w:w="10512"/>
            <w:tcBorders>
              <w:top w:val="single" w:color="dcebe4" w:sz="5" w:space="0" w:shadow="0" w:frame="0"/>
              <w:left w:val="single" w:color="dcebe4" w:sz="5" w:space="0" w:shadow="0" w:frame="0"/>
              <w:bottom w:val="single" w:color="dcebe4" w:sz="5" w:space="0" w:shadow="0" w:frame="0"/>
              <w:right w:val="single" w:color="dc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120" w:line="288" w:lineRule="auto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0b6b4f"/>
                <w:u w:color="0b6b4f"/>
                <w:rtl w:val="0"/>
                <w:lang w:val="zh-CN" w:eastAsia="zh-CN"/>
              </w:rPr>
              <w:t>填写说明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本文件用于集中整理当前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Recovery Map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中多个交易所、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>DEX / DeFi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、钱包等账户的恢复信息位置与查找路径。平台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钱包名称及已确认的恢复条件可由前序模块带入，客户主要补充具体保存位置、相关设备、访问入口和查找说明。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如某项条件确认不存在或不适用，请明确填写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无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，不要留空。尚未核实的信息，建议先确认后再完成填写。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具体保存位置应尽量写到未来恢复人能够真实定位并找到的位置，例如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书房保险柜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书桌左侧第二个抽屉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备用手机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密码管理器中的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Binance Login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具体条目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，不要只写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家里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电脑里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密码管理器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纸质资料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等泛称。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请不要在本文件中直接填写完整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>Seed 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（助记词）或完整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>Private Key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（私钥）。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如设备、文件、账户恢复资料或保存位置发生变化，请及时更新本文件，确保记录与实际情况保持一致。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04"/>
        <w:gridCol w:w="3024"/>
        <w:gridCol w:w="4968"/>
      </w:tblGrid>
      <w:tr>
        <w:tblPrEx>
          <w:shd w:val="clear" w:color="auto" w:fill="ced7e7"/>
        </w:tblPrEx>
        <w:trPr>
          <w:trHeight w:val="313" w:hRule="atLeast"/>
        </w:trPr>
        <w:tc>
          <w:tcPr>
            <w:tcW w:type="dxa" w:w="230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</w:p>
        </w:tc>
        <w:tc>
          <w:tcPr>
            <w:tcW w:type="dxa" w:w="30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适用对象</w:t>
            </w:r>
          </w:p>
        </w:tc>
        <w:tc>
          <w:tcPr>
            <w:tcW w:type="dxa" w:w="496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重点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｜中心化交易所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Binance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OKX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Coinbase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注册邮箱、手机号、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2FA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、密码、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KYC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、已信任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备用设备等关键恢复条件的具体保存位置、设备位置和访问入口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｜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Uniswap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Aave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协议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平台名称、关联钱包，以及关联钱包恢复材料、相关设备和访问入口的具体位置</w:t>
            </w:r>
          </w:p>
        </w:tc>
      </w:tr>
      <w:tr>
        <w:tblPrEx>
          <w:shd w:val="clear" w:color="auto" w:fill="ced7e7"/>
        </w:tblPrEx>
        <w:trPr>
          <w:trHeight w:val="885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C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｜自托管钱包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热钱包、冷钱包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</w:pP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Hardware Wallet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Seed 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Private Key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Passphrase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、设备密码等恢复材料与设备的具体保存位置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｜多签钱包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Safe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</w:pP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，以及达到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Threshold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所需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Signer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各自恢复材料、设备和相关信息的具体保存位置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"/>
        <w:spacing w:after="1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zh-CN" w:eastAsia="zh-CN"/>
        </w:rPr>
        <w:t>动态生成规则：实际客户文件仅保留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9"/>
          <w:szCs w:val="19"/>
          <w:u w:color="5e6b67"/>
          <w:rtl w:val="0"/>
          <w:lang w:val="en-US"/>
        </w:rPr>
        <w:t xml:space="preserve">Module 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zh-CN" w:eastAsia="zh-CN"/>
        </w:rPr>
        <w:t>已选择的恢复条件，按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03</w:t>
      </w:r>
      <w:r>
        <w:rPr>
          <w:rFonts w:ascii="Arial" w:hAnsi="Arial" w:hint="default"/>
          <w:color w:val="5e6b67"/>
          <w:sz w:val="19"/>
          <w:szCs w:val="19"/>
          <w:u w:color="5e6b67"/>
          <w:rtl w:val="0"/>
          <w:lang w:val="en-US"/>
        </w:rPr>
        <w:t xml:space="preserve">…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zh-CN" w:eastAsia="zh-CN"/>
        </w:rPr>
        <w:t>连续排列；没有内容的区块不保留空表或空页。</w:t>
      </w: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｜中心化交易所填写页</w:t>
      </w:r>
    </w:p>
    <w:p>
      <w:pPr>
        <w:pStyle w:val="正文 A"/>
        <w:spacing w:after="160"/>
      </w:pP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建议按照下列顺序逐项确认。没有或不适用的内容请明确写</w:t>
      </w:r>
      <w:r>
        <w:rPr>
          <w:color w:val="22302a"/>
          <w:sz w:val="18"/>
          <w:szCs w:val="18"/>
          <w:u w:color="22302a"/>
          <w:rtl w:val="0"/>
          <w:lang w:val="en-US"/>
        </w:rPr>
        <w:t>“</w:t>
      </w:r>
      <w:r>
        <w:rPr>
          <w:rFonts w:eastAsia="PingFang SC Semibold" w:hint="eastAsia"/>
          <w:color w:val="22302a"/>
          <w:sz w:val="18"/>
          <w:szCs w:val="18"/>
          <w:u w:color="22302a"/>
          <w:rtl w:val="0"/>
          <w:lang w:val="en-US"/>
        </w:rPr>
        <w:t>无</w:t>
      </w:r>
      <w:r>
        <w:rPr>
          <w:color w:val="22302a"/>
          <w:sz w:val="18"/>
          <w:szCs w:val="18"/>
          <w:u w:color="22302a"/>
          <w:rtl w:val="0"/>
          <w:lang w:val="en-US"/>
        </w:rPr>
        <w:t>”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，不要留空。尚未核实的信息，请先核实后再完成填写。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交易所名称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Binance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账户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交易所注册邮箱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交易所注册手机号（如使用）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00" w:after="60"/>
      </w:pPr>
      <w:r>
        <w:t xml:space="preserve">1｜恢复条件与资料位置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2664"/>
        <w:gridCol w:w="3672"/>
        <w:gridCol w:w="1728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恢复条件</w:t>
            </w:r>
          </w:p>
        </w:tc>
        <w:tc>
          <w:tcPr>
            <w:tcW w:type="dxa" w:w="266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具体信息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</w:p>
        </w:tc>
        <w:tc>
          <w:tcPr>
            <w:tcW w:type="dxa" w:w="367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具体保存位置</w:t>
            </w:r>
          </w:p>
        </w:tc>
        <w:tc>
          <w:tcPr>
            <w:tcW w:type="dxa" w:w="172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934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注册邮箱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</w:tr>
      <w:tr>
        <w:tblPrEx>
          <w:shd w:val="clear" w:color="auto" w:fill="ced7e7"/>
        </w:tblPrEx>
        <w:trPr>
          <w:trHeight w:val="934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2FA / Authenticator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</w:tr>
      <w:tr>
        <w:tblPrEx>
          <w:shd w:val="clear" w:color="auto" w:fill="ced7e7"/>
        </w:tblPrEx>
        <w:trPr>
          <w:trHeight w:val="934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Passkey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da-DK"/>
        </w:rPr>
        <w:t xml:space="preserve">DEX / DeFi 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填写页</w:t>
      </w:r>
    </w:p>
    <w:p>
      <w:pPr>
        <w:pStyle w:val="正文 A"/>
        <w:spacing w:after="14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先写清楚协议</w:t>
      </w:r>
      <w:r>
        <w:rPr>
          <w:color w:val="6e7a75"/>
          <w:sz w:val="22"/>
          <w:szCs w:val="22"/>
          <w:u w:color="6e7a75"/>
          <w:rtl w:val="0"/>
          <w:lang w:val="en-US"/>
        </w:rPr>
        <w:t>/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平台和关联钱包，再把这个关联钱包真正需要的恢复材料逐项落实到具体保存位置。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平台名称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Curve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关联钱包恢复材料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恢复材料</w:t>
            </w:r>
          </w:p>
        </w:tc>
        <w:tc>
          <w:tcPr>
            <w:tcW w:type="dxa" w:w="27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  <w:tc>
          <w:tcPr>
            <w:tcW w:type="dxa" w:w="352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具体保存位置</w:t>
            </w:r>
          </w:p>
        </w:tc>
        <w:tc>
          <w:tcPr>
            <w:tcW w:type="dxa" w:w="165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67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关联钱包 / Connected Wallet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</w:tr>
      <w:tr>
        <w:tblPrEx>
          <w:shd w:val="clear" w:color="auto" w:fill="ced7e7"/>
        </w:tblPrEx>
        <w:trPr>
          <w:trHeight w:val="67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Seed Phrase / 助记词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8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协议特有说明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80" w:after="60" w:line="240" w:lineRule="auto"/>
        <w:ind w:left="108" w:hanging="108"/>
        <w:jc w:val="center"/>
      </w:pPr>
    </w:p>
    <w:p>
      <w:pPr>
        <w:pStyle w:val="正文 A"/>
        <w:widowControl w:val="0"/>
        <w:spacing w:before="80" w:after="60" w:line="240" w:lineRule="auto"/>
        <w:jc w:val="center"/>
      </w:pP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C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｜自托管钱包填写页</w:t>
      </w:r>
    </w:p>
    <w:p>
      <w:pPr>
        <w:pStyle w:val="正文 A"/>
        <w:spacing w:after="14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适用于热钱包和冷钱包。重点是把真正需要的恢复材料逐项落到具体保存位置。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钱包名称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品牌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imToken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钱包类别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热钱包 / 软件钱包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钱包使用软件（如需要）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核心恢复材料与保存位置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恢复材料</w:t>
            </w:r>
          </w:p>
        </w:tc>
        <w:tc>
          <w:tcPr>
            <w:tcW w:type="dxa" w:w="27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  <w:tc>
          <w:tcPr>
            <w:tcW w:type="dxa" w:w="352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具体保存位置</w:t>
            </w:r>
          </w:p>
        </w:tc>
        <w:tc>
          <w:tcPr>
            <w:tcW w:type="dxa" w:w="165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70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Seed Phrase / 助记词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</w:tr>
      <w:tr>
        <w:tblPrEx>
          <w:shd w:val="clear" w:color="auto" w:fill="ced7e7"/>
        </w:tblPrEx>
        <w:trPr>
          <w:trHeight w:val="70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钱包访问密码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8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91a39a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10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10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80" w:after="60" w:line="240" w:lineRule="auto"/>
        <w:ind w:left="108" w:hanging="108"/>
        <w:jc w:val="center"/>
      </w:pPr>
    </w:p>
    <w:p>
      <w:pPr>
        <w:pStyle w:val="正文 A"/>
        <w:widowControl w:val="0"/>
        <w:spacing w:before="80" w:after="60" w:line="240" w:lineRule="auto"/>
        <w:jc w:val="center"/>
      </w:pP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C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｜自托管钱包填写页</w:t>
      </w:r>
    </w:p>
    <w:p>
      <w:pPr>
        <w:pStyle w:val="正文 A"/>
        <w:spacing w:after="14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适用于热钱包和冷钱包。重点是把真正需要的恢复材料逐项落到具体保存位置。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钱包名称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品牌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Keystone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钱包类别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冷钱包 / 硬件钱包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钱包使用软件（如需要）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核心恢复材料与保存位置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恢复材料</w:t>
            </w:r>
          </w:p>
        </w:tc>
        <w:tc>
          <w:tcPr>
            <w:tcW w:type="dxa" w:w="27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  <w:tc>
          <w:tcPr>
            <w:tcW w:type="dxa" w:w="352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具体保存位置</w:t>
            </w:r>
          </w:p>
        </w:tc>
        <w:tc>
          <w:tcPr>
            <w:tcW w:type="dxa" w:w="165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70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Hardware Wallet / 硬件钱包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</w:tr>
      <w:tr>
        <w:tblPrEx>
          <w:shd w:val="clear" w:color="auto" w:fill="ced7e7"/>
        </w:tblPrEx>
        <w:trPr>
          <w:trHeight w:val="70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Seed Phrase / 助记词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</w:tr>
      <w:tr>
        <w:tblPrEx>
          <w:shd w:val="clear" w:color="auto" w:fill="ced7e7"/>
        </w:tblPrEx>
        <w:trPr>
          <w:trHeight w:val="70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Passphrase / 额外口令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8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91a39a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10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10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80" w:after="60" w:line="240" w:lineRule="auto"/>
        <w:ind w:left="108" w:hanging="108"/>
        <w:jc w:val="center"/>
      </w:pPr>
    </w:p>
    <w:p>
      <w:pPr>
        <w:pStyle w:val="正文 A"/>
        <w:widowControl w:val="0"/>
        <w:spacing w:before="80" w:after="60" w:line="240" w:lineRule="auto"/>
        <w:jc w:val="center"/>
      </w:pPr>
    </w:p>
    <w:sectPr>
      <w:headerReference w:type="default" r:id="rId4"/>
      <w:footerReference w:type="default" r:id="rId5"/>
      <w:pgSz w:w="12240" w:h="15840" w:orient="portrait"/>
      <w:pgMar w:top="893" w:right="936" w:bottom="835" w:left="936" w:header="720" w:footer="28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e7a75"/>
        <w:sz w:val="16"/>
        <w:szCs w:val="16"/>
        <w:u w:color="6e7a75"/>
        <w:rtl w:val="0"/>
        <w:lang w:val="en-US"/>
      </w:rPr>
      <w:t xml:space="preserve">SKREK </w:t>
    </w:r>
    <w:r>
      <w:rPr>
        <w:color w:val="6e7a75"/>
        <w:sz w:val="16"/>
        <w:szCs w:val="16"/>
        <w:u w:color="6e7a75"/>
        <w:rtl w:val="0"/>
        <w:lang w:val="en-US"/>
      </w:rPr>
      <w:t xml:space="preserve">· </w:t>
    </w:r>
    <w:r>
      <w:rPr>
        <w:color w:val="6e7a75"/>
        <w:sz w:val="16"/>
        <w:szCs w:val="16"/>
        <w:u w:color="6e7a75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zh-CN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