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after="120" w:line="288" w:lineRule="auto"/>
      </w:pPr>
      <w:r>
        <w:rPr>
          <w:color w:val="5e6b67"/>
          <w:sz w:val="19"/>
          <w:szCs w:val="19"/>
          <w:u w:color="6f7b76"/>
          <w:rtl w:val="0"/>
          <w:lang w:val="en-US"/>
        </w:rPr>
        <w:t xml:space="preserve">SKREK </w:t>
      </w:r>
      <w:r>
        <w:rPr>
          <w:color w:val="5e6b67"/>
          <w:sz w:val="19"/>
          <w:szCs w:val="19"/>
          <w:u w:color="6f7b76"/>
          <w:rtl w:val="0"/>
          <w:lang w:val="en-US"/>
        </w:rPr>
        <w:t xml:space="preserve">· </w:t>
      </w:r>
      <w:r>
        <w:rPr>
          <w:color w:val="5e6b67"/>
          <w:sz w:val="19"/>
          <w:szCs w:val="19"/>
          <w:u w:color="6f7b76"/>
          <w:rtl w:val="0"/>
          <w:lang w:val="en-US"/>
        </w:rPr>
        <w:t>Recovery Map</w:t>
      </w:r>
    </w:p>
    <w:p>
      <w:pPr>
        <w:pStyle w:val="正文 A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｜恢复与转移步骤｜单一平台恢复步骤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2396" w:hRule="atLeast"/>
        </w:trPr>
        <w:tc>
          <w:tcPr>
            <w:tcW w:type="dxa" w:w="10570"/>
            <w:tcBorders>
              <w:top w:val="single" w:color="ddebe4" w:sz="5" w:space="0" w:shadow="0" w:frame="0"/>
              <w:left w:val="single" w:color="ddebe4" w:sz="5" w:space="0" w:shadow="0" w:frame="0"/>
              <w:bottom w:val="single" w:color="ddebe4" w:sz="5" w:space="0" w:shadow="0" w:frame="0"/>
              <w:right w:val="single" w:color="dd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40" w:line="276" w:lineRule="auto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填写说明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同一账户在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原有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备用设备仍可用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ja-JP" w:eastAsia="ja-JP"/>
              </w:rPr>
              <w:t>和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原有设备不可用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使用新设备恢复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两种情况下，操作路径可能明显不同，建议分别记录。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建议先确认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Module 2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所需恢复条件已经准备、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Module 3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关键材料与设备已经找到，再填写本模块。步骤应以真实账户、官方流程或实际演练结果为准。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涉及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Seed Phrase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（助记词）或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Private Key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（私钥）时，只记录操作方式和顺序，不要在本文件中填写完整内容。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"/>
        <w:spacing w:before="240" w:after="1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6"/>
          <w:szCs w:val="26"/>
          <w:u w:color="0b6b4f"/>
          <w:rtl w:val="0"/>
          <w:lang w:val="zh-CN" w:eastAsia="zh-CN"/>
        </w:rPr>
        <w:t>账户类型与平台名称</w:t>
      </w:r>
    </w:p>
    <w:tbl>
      <w:tblPr>
        <w:tblW w:w="1036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84"/>
        <w:gridCol w:w="5184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账户类型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TW" w:eastAsia="zh-TW"/>
              </w:rPr>
              <w:t>平台</w:t>
            </w:r>
            <w:r>
              <w:rPr>
                <w:rFonts w:ascii="Arial" w:hAnsi="Arial"/>
                <w:b w:val="1"/>
                <w:bCs w:val="1"/>
                <w:color w:val="12382f"/>
                <w:sz w:val="20"/>
                <w:szCs w:val="20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b w:val="1"/>
                <w:bCs w:val="1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钱包名称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240" w:after="120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不同账户类型的填写重点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4824"/>
      </w:tblGrid>
      <w:tr>
        <w:tblPrEx>
          <w:shd w:val="clear" w:color="auto" w:fill="ced7e7"/>
        </w:tblPrEx>
        <w:trPr>
          <w:trHeight w:val="313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</w:p>
        </w:tc>
        <w:tc>
          <w:tcPr>
            <w:tcW w:type="dxa" w:w="30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适用对象</w:t>
            </w:r>
          </w:p>
        </w:tc>
        <w:tc>
          <w:tcPr>
            <w:tcW w:type="dxa" w:w="4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填写重点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｜中心化交易所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Binance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OKX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Coinbase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登录验证、账户恢复、身份核验、安全检查及必要转移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｜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Uniswap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Aave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先恢复关联钱包，再连接协议并核对仓位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授权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C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｜自托管钱包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热钱包、冷钱包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原设备解锁或新设备恢复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导入、核对地址与资产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｜多签钱包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Safe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恢复达到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Threshold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数量的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，再完成提案、签名与执行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SKREK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｜中心化交易所</w:t>
      </w:r>
    </w:p>
    <w:p>
      <w:pPr>
        <w:pStyle w:val="正文 A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仅当当前账户属于托管型中心化交易所时填写。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交易所名称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Binance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账户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交易所注册邮箱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交易所注册手机号（如使用）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p>
      <w:pPr>
        <w:pStyle w:val="正文"/>
        <w:spacing w:after="10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已确认恢复条件由系统按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03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 xml:space="preserve">…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分行带入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确认结果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说明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，便于逐项核对。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模块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所需恢复条件已准备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5"/>
            </w:pPr>
            <w:r>
              <w:rPr>
                <w:sz w:val="18"/>
                <w:szCs w:val="18"/>
              </w:rPr>
              <w:t xml:space="preserve">01  注册邮箱</w:t>
            </w:r>
          </w:p>
          <w:p>
            <w:pPr>
              <w:spacing w:after="45"/>
            </w:pPr>
            <w:r>
              <w:rPr>
                <w:sz w:val="18"/>
                <w:szCs w:val="18"/>
              </w:rPr>
              <w:t xml:space="preserve">02  2FA / Authenticator</w:t>
            </w:r>
          </w:p>
          <w:p>
            <w:pPr>
              <w:spacing w:after="45"/>
            </w:pPr>
            <w:r>
              <w:rPr>
                <w:sz w:val="18"/>
                <w:szCs w:val="18"/>
              </w:rPr>
              <w:t xml:space="preserve">03  Passkey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模块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关键材料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正在使用交易所官方入口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后续接收地址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00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SKREK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sectPr>
      <w:headerReference w:type="default" r:id="rId4"/>
      <w:footerReference w:type="default" r:id="rId5"/>
      <w:pgSz w:w="12240" w:h="15840" w:orient="portrait"/>
      <w:pgMar w:top="893" w:right="936" w:bottom="835" w:left="936" w:header="720" w:footer="25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color w:val="6f7b76"/>
        <w:sz w:val="16"/>
        <w:szCs w:val="16"/>
        <w:u w:color="6f7b76"/>
        <w:rtl w:val="0"/>
        <w:lang w:val="en-US"/>
      </w:rPr>
      <w:t xml:space="preserve">SKREK  </w:t>
    </w:r>
    <w:r>
      <w:rPr>
        <w:color w:val="6f7b76"/>
        <w:sz w:val="16"/>
        <w:szCs w:val="16"/>
        <w:u w:color="6f7b76"/>
        <w:rtl w:val="0"/>
        <w:lang w:val="en-US"/>
      </w:rPr>
      <w:t xml:space="preserve">·  </w:t>
    </w:r>
    <w:r>
      <w:rPr>
        <w:color w:val="6f7b76"/>
        <w:sz w:val="16"/>
        <w:szCs w:val="16"/>
        <w:u w:color="6f7b76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zh-CN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