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正文 A"/>
        <w:spacing w:after="120" w:line="288" w:lineRule="auto"/>
      </w:pPr>
      <w:r>
        <w:rPr>
          <w:noProof/>
          <w:color w:val="5e6b67"/>
          <w:sz w:val="19"/>
          <w:szCs w:val="19"/>
          <w:u w:color="6f7b76"/>
          <w:rtl w:val="0"/>
          <w:lang w:val="en-US"/>
        </w:rPr>
        <w:t xml:space="preserve">LEGAVIK </w:t>
      </w:r>
      <w:r>
        <w:rPr>
          <w:color w:val="5e6b67"/>
          <w:sz w:val="19"/>
          <w:szCs w:val="19"/>
          <w:u w:color="6f7b76"/>
          <w:rtl w:val="0"/>
          <w:lang w:val="en-US"/>
        </w:rPr>
        <w:t xml:space="preserve">· </w:t>
      </w:r>
      <w:r>
        <w:rPr>
          <w:color w:val="5e6b67"/>
          <w:sz w:val="19"/>
          <w:szCs w:val="19"/>
          <w:u w:color="6f7b76"/>
          <w:rtl w:val="0"/>
          <w:lang w:val="en-US"/>
        </w:rPr>
        <w:t>Recovery Map</w:t>
      </w:r>
    </w:p>
    <w:p>
      <w:pPr>
        <w:pStyle w:val="正文 A"/>
        <w:spacing w:after="160" w:line="252" w:lineRule="auto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模块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 xml:space="preserve"> </w:t>
      </w:r>
      <w:r>
        <w:rPr>
          <w:b w:val="1"/>
          <w:bCs w:val="1"/>
          <w:color w:val="0b6b4f"/>
          <w:sz w:val="44"/>
          <w:szCs w:val="44"/>
          <w:u w:color="147a56"/>
          <w:rtl w:val="0"/>
          <w:lang w:val="en-US"/>
        </w:rPr>
        <w:t>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44"/>
          <w:szCs w:val="44"/>
          <w:u w:color="147a56"/>
          <w:rtl w:val="0"/>
          <w:lang w:val="en-US"/>
        </w:rPr>
        <w:t>｜恢复与转移步骤｜单一平台恢复步骤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2396" w:hRule="atLeast"/>
        </w:trPr>
        <w:tc>
          <w:tcPr>
            <w:tcW w:type="dxa" w:w="10570"/>
            <w:tcBorders>
              <w:top w:val="single" w:color="ddebe4" w:sz="5" w:space="0" w:shadow="0" w:frame="0"/>
              <w:left w:val="single" w:color="ddebe4" w:sz="5" w:space="0" w:shadow="0" w:frame="0"/>
              <w:bottom w:val="single" w:color="ddebe4" w:sz="5" w:space="0" w:shadow="0" w:frame="0"/>
              <w:right w:val="single" w:color="ddebe4" w:sz="5" w:space="0" w:shadow="0" w:frame="0"/>
            </w:tcBorders>
            <w:shd w:val="clear" w:color="auto" w:fill="eaf4e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"/>
              <w:spacing w:after="40" w:line="276" w:lineRule="auto"/>
              <w:rPr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填写说明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同一账户在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原有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备用设备仍可用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ja-JP" w:eastAsia="ja-JP"/>
              </w:rPr>
              <w:t>和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原有设备不可用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使用新设备恢复</w:t>
            </w: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>”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两种情况下，操作路径可能明显不同，建议分别记录。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建议先确认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Module 2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所需恢复条件已经准备、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Module 3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关键材料与设备已经找到，再填写本模块。步骤应以真实账户、官方流程或实际演练结果为准。</w:t>
            </w:r>
          </w:p>
          <w:p>
            <w:pPr>
              <w:pStyle w:val="正文"/>
              <w:bidi w:val="0"/>
              <w:spacing w:after="40" w:line="276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 w:hint="default"/>
                <w:color w:val="12382f"/>
                <w:sz w:val="19"/>
                <w:szCs w:val="19"/>
                <w:u w:color="12382f"/>
                <w:rtl w:val="0"/>
                <w:lang w:val="en-US"/>
              </w:rPr>
              <w:t xml:space="preserve">•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TW" w:eastAsia="zh-TW"/>
              </w:rPr>
              <w:t>涉及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Seed Phrase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（助记词）或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color w:val="12382f"/>
                <w:sz w:val="19"/>
                <w:szCs w:val="19"/>
                <w:u w:color="12382f"/>
                <w:rtl w:val="0"/>
                <w:lang w:val="en-US"/>
              </w:rPr>
              <w:t>Private Key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2382f"/>
                <w:rtl w:val="0"/>
                <w:lang w:val="zh-CN" w:eastAsia="zh-CN"/>
              </w:rPr>
              <w:t>（私钥）时，只记录操作方式和顺序，不要在本文件中填写完整内容。</w:t>
            </w:r>
          </w:p>
        </w:tc>
      </w:tr>
    </w:tbl>
    <w:p>
      <w:pPr>
        <w:pStyle w:val="正文 A"/>
        <w:widowControl w:val="0"/>
        <w:spacing w:after="160" w:line="240" w:lineRule="auto"/>
        <w:ind w:left="108" w:hanging="108"/>
        <w:jc w:val="center"/>
      </w:pPr>
    </w:p>
    <w:p>
      <w:pPr>
        <w:pStyle w:val="正文"/>
        <w:spacing w:before="240" w:after="120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0b6b4f"/>
          <w:sz w:val="26"/>
          <w:szCs w:val="26"/>
          <w:u w:color="0b6b4f"/>
          <w:rtl w:val="0"/>
          <w:lang w:val="zh-CN" w:eastAsia="zh-CN"/>
        </w:rPr>
        <w:t>账户类型与平台名称</w:t>
      </w:r>
    </w:p>
    <w:tbl>
      <w:tblPr>
        <w:tblW w:w="10368" w:type="dxa"/>
        <w:jc w:val="center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184"/>
        <w:gridCol w:w="5184"/>
      </w:tblGrid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  <w:shd w:val="clear" w:color="auto" w:fill="f3f6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line="288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账户类型</w:t>
            </w:r>
          </w:p>
        </w:tc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90" w:hRule="atLeast"/>
        </w:trPr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  <w:shd w:val="clear" w:color="auto" w:fill="f3f6f4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正文"/>
              <w:spacing w:line="288" w:lineRule="auto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TW" w:eastAsia="zh-TW"/>
              </w:rPr>
              <w:t>平台</w:t>
            </w:r>
            <w:r>
              <w:rPr>
                <w:rFonts w:ascii="Arial" w:hAnsi="Arial"/>
                <w:b w:val="1"/>
                <w:bCs w:val="1"/>
                <w:color w:val="12382f"/>
                <w:sz w:val="20"/>
                <w:szCs w:val="20"/>
                <w:u w:color="12382f"/>
                <w:rtl w:val="0"/>
              </w:rPr>
              <w:t xml:space="preserve"> </w:t>
            </w:r>
            <w:r>
              <w:rPr>
                <w:rFonts w:ascii="Arial" w:hAnsi="Arial"/>
                <w:b w:val="1"/>
                <w:bCs w:val="1"/>
                <w:color w:val="12382f"/>
                <w:sz w:val="20"/>
                <w:szCs w:val="20"/>
                <w:u w:color="12382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20"/>
                <w:szCs w:val="20"/>
                <w:u w:color="12382f"/>
                <w:rtl w:val="0"/>
                <w:lang w:val="zh-CN" w:eastAsia="zh-CN"/>
              </w:rPr>
              <w:t>钱包名称</w:t>
            </w:r>
          </w:p>
        </w:tc>
        <w:tc>
          <w:tcPr>
            <w:tcW w:type="dxa" w:w="518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正文"/>
        <w:widowControl w:val="0"/>
        <w:spacing w:before="240" w:after="120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4"/>
          <w:szCs w:val="24"/>
          <w:u w:color="147a56"/>
          <w:rtl w:val="0"/>
          <w:lang w:val="en-US"/>
        </w:rPr>
        <w:t>不同账户类型的填写重点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232"/>
        <w:gridCol w:w="3096"/>
        <w:gridCol w:w="4824"/>
      </w:tblGrid>
      <w:tr>
        <w:tblPrEx>
          <w:shd w:val="clear" w:color="auto" w:fill="ced7e7"/>
        </w:tblPrEx>
        <w:trPr>
          <w:trHeight w:val="313" w:hRule="atLeast"/>
        </w:trPr>
        <w:tc>
          <w:tcPr>
            <w:tcW w:type="dxa" w:w="223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类型</w:t>
            </w:r>
          </w:p>
        </w:tc>
        <w:tc>
          <w:tcPr>
            <w:tcW w:type="dxa" w:w="3096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适用对象</w:t>
            </w:r>
          </w:p>
        </w:tc>
        <w:tc>
          <w:tcPr>
            <w:tcW w:type="dxa" w:w="4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填写重点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A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｜中心化交易所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Binance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OKX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Coinbase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登录验证、账户恢复、身份核验、安全检查及必要转移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B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｜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DEX / DeFi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Uniswap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Aave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先恢复关联钱包，再连接协议并核对仓位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授权</w:t>
            </w:r>
          </w:p>
        </w:tc>
      </w:tr>
      <w:tr>
        <w:tblPrEx>
          <w:shd w:val="clear" w:color="auto" w:fill="ced7e7"/>
        </w:tblPrEx>
        <w:trPr>
          <w:trHeight w:val="466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C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｜自托管钱包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热钱包、冷钱包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原设备解锁或新设备恢复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导入、核对地址与资产</w:t>
            </w:r>
          </w:p>
        </w:tc>
      </w:tr>
      <w:tr>
        <w:tblPrEx>
          <w:shd w:val="clear" w:color="auto" w:fill="ced7e7"/>
        </w:tblPrEx>
        <w:trPr>
          <w:trHeight w:val="580" w:hRule="atLeast"/>
        </w:trPr>
        <w:tc>
          <w:tcPr>
            <w:tcW w:type="dxa" w:w="223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｜多签钱包</w:t>
            </w:r>
          </w:p>
        </w:tc>
        <w:tc>
          <w:tcPr>
            <w:tcW w:type="dxa" w:w="3096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Safe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等</w:t>
            </w:r>
          </w:p>
        </w:tc>
        <w:tc>
          <w:tcPr>
            <w:tcW w:type="dxa" w:w="4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恢复达到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Threshold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数量的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，再完成提案、签名与执行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2"/>
          <w:szCs w:val="4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｜中心化交易所</w:t>
      </w:r>
    </w:p>
    <w:p>
      <w:pPr>
        <w:pStyle w:val="正文 A"/>
        <w:spacing w:after="140"/>
      </w:pP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仅当当前账户属于托管型中心化交易所时填写。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ja-JP" w:eastAsia="ja-JP"/>
              </w:rPr>
              <w:t>交易所名称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账户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/ UID / Username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交易所注册邮箱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交易所注册手机号（如使用）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40" w:line="240" w:lineRule="auto"/>
        <w:ind w:left="108" w:hanging="108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p>
      <w:pPr>
        <w:pStyle w:val="正文"/>
        <w:spacing w:after="100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已确认恢复条件由系统按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 xml:space="preserve"> 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>01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TW" w:eastAsia="zh-TW"/>
        </w:rPr>
        <w:t>、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>02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TW" w:eastAsia="zh-TW"/>
        </w:rPr>
        <w:t>、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>03</w:t>
      </w:r>
      <w:r>
        <w:rPr>
          <w:rFonts w:ascii="Arial" w:hAnsi="Arial" w:hint="default"/>
          <w:color w:val="5e6b67"/>
          <w:sz w:val="18"/>
          <w:szCs w:val="18"/>
          <w:u w:color="5e6b67"/>
          <w:rtl w:val="0"/>
          <w:lang w:val="en-US"/>
        </w:rPr>
        <w:t xml:space="preserve">…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分行带入</w:t>
      </w:r>
      <w:r>
        <w:rPr>
          <w:rFonts w:ascii="Arial" w:hAnsi="Arial" w:hint="default"/>
          <w:color w:val="5e6b67"/>
          <w:sz w:val="18"/>
          <w:szCs w:val="18"/>
          <w:u w:color="5e6b67"/>
          <w:rtl w:val="0"/>
          <w:lang w:val="en-US"/>
        </w:rPr>
        <w:t>“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确认结果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 xml:space="preserve"> </w:t>
      </w:r>
      <w:r>
        <w:rPr>
          <w:rFonts w:ascii="Arial" w:hAnsi="Arial"/>
          <w:color w:val="5e6b67"/>
          <w:sz w:val="18"/>
          <w:szCs w:val="18"/>
          <w:u w:color="5e6b67"/>
          <w:rtl w:val="0"/>
        </w:rPr>
        <w:t xml:space="preserve">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说明</w:t>
      </w:r>
      <w:r>
        <w:rPr>
          <w:rFonts w:ascii="Arial" w:hAnsi="Arial" w:hint="default"/>
          <w:color w:val="5e6b67"/>
          <w:sz w:val="18"/>
          <w:szCs w:val="18"/>
          <w:u w:color="5e6b67"/>
          <w:rtl w:val="0"/>
          <w:lang w:val="en-US"/>
        </w:rPr>
        <w:t>”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color w:val="5e6b67"/>
          <w:sz w:val="18"/>
          <w:szCs w:val="18"/>
          <w:u w:color="5e6b67"/>
          <w:rtl w:val="0"/>
          <w:lang w:val="zh-CN" w:eastAsia="zh-CN"/>
        </w:rPr>
        <w:t>，便于逐项核对。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模块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2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所需恢复条件已准备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模块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3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关键材料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设备已找到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正在使用交易所官方入口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后续接收地址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"/>
        <w:widowControl w:val="0"/>
        <w:spacing w:after="100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按真实操作顺序填写；不足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81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47a56"/>
                <w:rtl w:val="0"/>
                <w:lang w:val="zh-CN" w:eastAsia="zh-CN"/>
              </w:rPr>
              <w:t>重要提示｜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2"/>
          <w:szCs w:val="4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｜</w:t>
      </w:r>
      <w:r>
        <w:rPr>
          <w:b w:val="1"/>
          <w:bCs w:val="1"/>
          <w:color w:val="147a56"/>
          <w:sz w:val="42"/>
          <w:szCs w:val="42"/>
          <w:u w:color="147a56"/>
          <w:rtl w:val="0"/>
          <w:lang w:val="da-DK"/>
        </w:rPr>
        <w:t>DEX / DeFi</w:t>
      </w:r>
    </w:p>
    <w:p>
      <w:pPr>
        <w:pStyle w:val="正文 A"/>
        <w:spacing w:after="140"/>
      </w:pP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仅当当前账户属于通过钱包连接的</w:t>
      </w:r>
      <w:r>
        <w:rPr>
          <w:color w:val="6f7b76"/>
          <w:sz w:val="21"/>
          <w:szCs w:val="21"/>
          <w:u w:color="6f7b76"/>
          <w:rtl w:val="0"/>
          <w:lang w:val="da-DK"/>
        </w:rPr>
        <w:t>DEX / DeFi</w:t>
      </w: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协议时填写。核心是先恢复关联钱包，再重新连接协议。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协议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ja-JP" w:eastAsia="ja-JP"/>
              </w:rPr>
              <w:t>平台名称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关联钱包名称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40" w:line="240" w:lineRule="auto"/>
        <w:ind w:left="108" w:hanging="108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关联钱包恢复条件已准备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关联钱包关键材料已找到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协议官方入口已确认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后续资产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仓位处理方案已确认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按真实操作顺序填写；不足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81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47a56"/>
                <w:rtl w:val="0"/>
                <w:lang w:val="zh-CN" w:eastAsia="zh-CN"/>
              </w:rPr>
              <w:t>重要提示｜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2"/>
          <w:szCs w:val="42"/>
          <w:u w:color="147a56"/>
          <w:rtl w:val="0"/>
          <w:lang w:val="en-US"/>
        </w:rPr>
        <w:t>C</w:t>
      </w: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｜自托管钱包</w:t>
      </w:r>
    </w:p>
    <w:p>
      <w:pPr>
        <w:pStyle w:val="正文 A"/>
        <w:spacing w:after="140"/>
      </w:pP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适用于热钱包和冷钱包。记录原设备可用或需要从新设备恢复时的实际操作顺序。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钱包名称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品牌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钱包类别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钱包使用软件（如需要）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40" w:line="240" w:lineRule="auto"/>
        <w:ind w:left="108" w:hanging="108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钱包恢复条件已准备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关键恢复材料已找到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官方软件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设备来源已确认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目标地址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后续处理方案已确认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按真实操作顺序填写；不足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81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47a56"/>
                <w:rtl w:val="0"/>
                <w:lang w:val="zh-CN" w:eastAsia="zh-CN"/>
              </w:rPr>
              <w:t>重要提示｜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after="40"/>
      </w:pPr>
      <w:r>
        <w:rPr>
          <w:noProof/>
          <w:color w:val="5e6b67"/>
          <w:sz w:val="18"/>
          <w:szCs w:val="18"/>
          <w:u w:color="6f7b76"/>
          <w:rtl w:val="0"/>
          <w:lang w:val="en-US"/>
        </w:rPr>
        <w:t xml:space="preserve">LEGAVIK </w:t>
      </w:r>
      <w:r>
        <w:rPr>
          <w:color w:val="5e6b67"/>
          <w:sz w:val="18"/>
          <w:szCs w:val="18"/>
          <w:u w:color="6f7b76"/>
          <w:rtl w:val="0"/>
          <w:lang w:val="en-US"/>
        </w:rPr>
        <w:t xml:space="preserve">· </w:t>
      </w:r>
      <w:r>
        <w:rPr>
          <w:color w:val="5e6b67"/>
          <w:sz w:val="18"/>
          <w:szCs w:val="18"/>
          <w:u w:color="6f7b76"/>
          <w:rtl w:val="0"/>
          <w:lang w:val="en-US"/>
        </w:rPr>
        <w:t>Recovery Map</w:t>
      </w:r>
    </w:p>
    <w:p>
      <w:pPr>
        <w:pStyle w:val="正文 A"/>
        <w:spacing w:after="60"/>
      </w:pPr>
      <w:r>
        <w:rPr>
          <w:b w:val="1"/>
          <w:bCs w:val="1"/>
          <w:color w:val="147a56"/>
          <w:sz w:val="42"/>
          <w:szCs w:val="42"/>
          <w:u w:color="147a56"/>
          <w:rtl w:val="0"/>
          <w:lang w:val="en-US"/>
        </w:rPr>
        <w:t>D</w:t>
      </w:r>
      <w:r>
        <w:rPr>
          <w:rFonts w:eastAsia="PingFang SC Semibold" w:hint="eastAsia"/>
          <w:color w:val="147a56"/>
          <w:sz w:val="42"/>
          <w:szCs w:val="42"/>
          <w:u w:color="147a56"/>
          <w:rtl w:val="0"/>
          <w:lang w:val="en-US"/>
        </w:rPr>
        <w:t>｜多签钱包</w:t>
      </w:r>
    </w:p>
    <w:p>
      <w:pPr>
        <w:pStyle w:val="正文 A"/>
        <w:spacing w:after="140"/>
      </w:pP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 xml:space="preserve">适用于 </w:t>
      </w:r>
      <w:r>
        <w:rPr>
          <w:color w:val="6f7b76"/>
          <w:sz w:val="21"/>
          <w:szCs w:val="21"/>
          <w:u w:color="6f7b76"/>
          <w:rtl w:val="0"/>
          <w:lang w:val="de-DE"/>
        </w:rPr>
        <w:t xml:space="preserve">Safe </w:t>
      </w: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 xml:space="preserve">等多签钱包。核心是恢复达到 </w:t>
      </w:r>
      <w:r>
        <w:rPr>
          <w:color w:val="6f7b76"/>
          <w:sz w:val="21"/>
          <w:szCs w:val="21"/>
          <w:u w:color="6f7b76"/>
          <w:rtl w:val="0"/>
          <w:lang w:val="da-DK"/>
        </w:rPr>
        <w:t xml:space="preserve">Threshold </w:t>
      </w: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 xml:space="preserve">数量的 </w:t>
      </w:r>
      <w:r>
        <w:rPr>
          <w:color w:val="6f7b76"/>
          <w:sz w:val="21"/>
          <w:szCs w:val="21"/>
          <w:u w:color="6f7b76"/>
          <w:rtl w:val="0"/>
          <w:lang w:val="da-DK"/>
        </w:rPr>
        <w:t>Signer</w:t>
      </w:r>
      <w:r>
        <w:rPr>
          <w:rFonts w:eastAsia="PingFang SC Regular" w:hint="eastAsia"/>
          <w:color w:val="6f7b76"/>
          <w:sz w:val="21"/>
          <w:szCs w:val="21"/>
          <w:u w:color="6f7b76"/>
          <w:rtl w:val="0"/>
          <w:lang w:val="en-US"/>
        </w:rPr>
        <w:t>，然后再完成提案、签名与执行。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5285"/>
        <w:gridCol w:w="5285"/>
      </w:tblGrid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多签钱包名称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多签地址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数量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20" w:hRule="atLeast"/>
        </w:trPr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f5f7f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Threshold</w:t>
            </w:r>
          </w:p>
        </w:tc>
        <w:tc>
          <w:tcPr>
            <w:tcW w:type="dxa" w:w="5285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after="140" w:line="240" w:lineRule="auto"/>
        <w:ind w:left="108" w:hanging="108"/>
        <w:jc w:val="center"/>
      </w:pPr>
    </w:p>
    <w:p>
      <w:pPr>
        <w:pStyle w:val="正文 A"/>
        <w:widowControl w:val="0"/>
        <w:spacing w:after="1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开始前确认</w:t>
      </w:r>
    </w:p>
    <w:tbl>
      <w:tblPr>
        <w:tblW w:w="10152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3600"/>
        <w:gridCol w:w="6552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3600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开始前确认</w:t>
            </w:r>
          </w:p>
        </w:tc>
        <w:tc>
          <w:tcPr>
            <w:tcW w:type="dxa" w:w="6552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确认结果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说明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多签结构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/ Threshold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达到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Threshold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数量的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可以恢复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各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关键材料已找到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  <w:tr>
        <w:tblPrEx>
          <w:shd w:val="clear" w:color="auto" w:fill="ced7e7"/>
        </w:tblPrEx>
        <w:trPr>
          <w:trHeight w:val="404" w:hRule="atLeast"/>
        </w:trPr>
        <w:tc>
          <w:tcPr>
            <w:tcW w:type="dxa" w:w="360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多签官方入口已确认</w:t>
            </w:r>
          </w:p>
        </w:tc>
        <w:tc>
          <w:tcPr>
            <w:tcW w:type="dxa" w:w="6552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 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78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47a56"/>
                <w:rtl w:val="0"/>
                <w:lang w:val="zh-CN" w:eastAsia="zh-CN"/>
              </w:rPr>
              <w:t>重要提示｜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例如</w:t>
            </w:r>
            <w:r>
              <w:rPr>
                <w:color w:val="12382f"/>
                <w:sz w:val="19"/>
                <w:szCs w:val="19"/>
                <w:u w:color="22302a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 xml:space="preserve">2-of-3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表示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3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个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中至少需要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2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个完成签名；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3-of-5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</w:rPr>
              <w:t>表示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5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个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Signer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TW" w:eastAsia="zh-TW"/>
              </w:rPr>
              <w:t>中至少需要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3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个。以你实际设置的</w:t>
            </w:r>
            <w:r>
              <w:rPr>
                <w:color w:val="12382f"/>
                <w:sz w:val="19"/>
                <w:szCs w:val="19"/>
                <w:u w:color="22302a"/>
                <w:rtl w:val="0"/>
                <w:lang w:val="en-US"/>
              </w:rPr>
              <w:t>Threshold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为准。</w:t>
            </w:r>
          </w:p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</w:p>
    <w:p>
      <w:pPr>
        <w:pStyle w:val="正文 A"/>
        <w:widowControl w:val="0"/>
        <w:spacing w:before="100" w:after="6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A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备用设备仍可用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按真实操作顺序填写；不足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>B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 xml:space="preserve">｜原有设备不可用 </w:t>
      </w:r>
      <w:r>
        <w:rPr>
          <w:b w:val="1"/>
          <w:bCs w:val="1"/>
          <w:color w:val="147a56"/>
          <w:sz w:val="22"/>
          <w:szCs w:val="22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2"/>
          <w:szCs w:val="22"/>
          <w:u w:color="147a56"/>
          <w:rtl w:val="0"/>
          <w:lang w:val="en-US"/>
        </w:rPr>
        <w:t>使用新设备恢复</w:t>
      </w:r>
    </w:p>
    <w:p>
      <w:pPr>
        <w:pStyle w:val="正文 A"/>
        <w:spacing w:after="40"/>
      </w:pP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记录从新设备重新访问或恢复时的真实操作顺序；不足</w:t>
      </w:r>
      <w:r>
        <w:rPr>
          <w:color w:val="6f7b76"/>
          <w:sz w:val="17"/>
          <w:szCs w:val="17"/>
          <w:u w:color="6f7b76"/>
          <w:rtl w:val="0"/>
          <w:lang w:val="en-US"/>
        </w:rPr>
        <w:t>8</w:t>
      </w:r>
      <w:r>
        <w:rPr>
          <w:rFonts w:eastAsia="PingFang SC Regular" w:hint="eastAsia"/>
          <w:color w:val="6f7b76"/>
          <w:sz w:val="17"/>
          <w:szCs w:val="17"/>
          <w:u w:color="6f7b76"/>
          <w:rtl w:val="0"/>
          <w:lang w:val="en-US"/>
        </w:rPr>
        <w:t>步无需填满。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824"/>
        <w:gridCol w:w="6897"/>
        <w:gridCol w:w="2849"/>
      </w:tblGrid>
      <w:tr>
        <w:tblPrEx>
          <w:shd w:val="clear" w:color="auto" w:fill="ced7e7"/>
        </w:tblPrEx>
        <w:trPr>
          <w:trHeight w:val="293" w:hRule="atLeast"/>
        </w:trPr>
        <w:tc>
          <w:tcPr>
            <w:tcW w:type="dxa" w:w="824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步骤</w:t>
            </w:r>
          </w:p>
        </w:tc>
        <w:tc>
          <w:tcPr>
            <w:tcW w:type="dxa" w:w="6897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ja-JP" w:eastAsia="ja-JP"/>
              </w:rPr>
              <w:t>操作内容</w:t>
            </w:r>
          </w:p>
        </w:tc>
        <w:tc>
          <w:tcPr>
            <w:tcW w:type="dxa" w:w="2848"/>
            <w:tcBorders>
              <w:top w:val="single" w:color="147a56" w:sz="7" w:space="0" w:shadow="0" w:frame="0"/>
              <w:left w:val="single" w:color="147a56" w:sz="7" w:space="0" w:shadow="0" w:frame="0"/>
              <w:bottom w:val="single" w:color="91a39a" w:sz="6" w:space="0" w:shadow="0" w:frame="0"/>
              <w:right w:val="single" w:color="147a56" w:sz="7" w:space="0" w:shadow="0" w:frame="0"/>
            </w:tcBorders>
            <w:shd w:val="clear" w:color="auto" w:fill="147a56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必要提示</w:t>
            </w:r>
            <w:r>
              <w:rPr>
                <w:color w:val="12382f"/>
                <w:sz w:val="19"/>
                <w:szCs w:val="19"/>
                <w:u w:color="ffffff"/>
                <w:rtl w:val="0"/>
              </w:rPr>
              <w:t xml:space="preserve"> </w:t>
            </w:r>
            <w:r>
              <w:rPr>
                <w:color w:val="12382f"/>
                <w:sz w:val="19"/>
                <w:szCs w:val="19"/>
                <w:u w:color="ffffff"/>
                <w:rtl w:val="0"/>
                <w:lang w:val="en-US"/>
              </w:rPr>
              <w:t xml:space="preserve">/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ffffff"/>
                <w:rtl w:val="0"/>
                <w:lang w:val="zh-CN" w:eastAsia="zh-CN"/>
              </w:rPr>
              <w:t>结果</w:t>
            </w:r>
          </w:p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1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2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3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4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5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6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7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500" w:hRule="atLeast"/>
        </w:trPr>
        <w:tc>
          <w:tcPr>
            <w:tcW w:type="dxa" w:w="824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  <w:jc w:val="center"/>
            </w:pPr>
            <w:r>
              <w:rPr>
                <w:color w:val="12382f"/>
                <w:sz w:val="19"/>
                <w:szCs w:val="19"/>
                <w:u w:color="147a56"/>
                <w:rtl w:val="0"/>
                <w:lang w:val="en-US"/>
              </w:rPr>
              <w:t>8</w:t>
            </w:r>
          </w:p>
        </w:tc>
        <w:tc>
          <w:tcPr>
            <w:tcW w:type="dxa" w:w="6897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  <w:tc>
          <w:tcPr>
            <w:tcW w:type="dxa" w:w="2848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581" w:hRule="atLeast"/>
        </w:trPr>
        <w:tc>
          <w:tcPr>
            <w:tcW w:type="dxa" w:w="10570"/>
            <w:tcBorders>
              <w:top w:val="single" w:color="e8d8a7" w:sz="5" w:space="0" w:shadow="0" w:frame="0"/>
              <w:left w:val="single" w:color="e8d8a7" w:sz="5" w:space="0" w:shadow="0" w:frame="0"/>
              <w:bottom w:val="single" w:color="e8d8a7" w:sz="5" w:space="0" w:shadow="0" w:frame="0"/>
              <w:right w:val="single" w:color="e8d8a7" w:sz="5" w:space="0" w:shadow="0" w:frame="0"/>
            </w:tcBorders>
            <w:shd w:val="clear" w:color="auto" w:fill="fff6df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正文 A"/>
              <w:spacing w:after="40"/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147a56"/>
                <w:rtl w:val="0"/>
                <w:lang w:val="zh-CN" w:eastAsia="zh-CN"/>
              </w:rPr>
              <w:t>重要提示｜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color w:val="12382f"/>
                <w:sz w:val="19"/>
                <w:szCs w:val="19"/>
                <w:u w:color="22302a"/>
                <w:rtl w:val="0"/>
                <w:lang w:val="zh-CN" w:eastAsia="zh-CN"/>
              </w:rPr>
              <w:t>先确认账户或钱包已经成功恢复，再根据实际法律、税务、安全和个人安排决定是否执行资产转移。恢复成功不等于必须立即转移。</w:t>
            </w:r>
          </w:p>
        </w:tc>
      </w:tr>
    </w:tbl>
    <w:p>
      <w:pPr>
        <w:pStyle w:val="正文 A"/>
        <w:widowControl w:val="0"/>
        <w:spacing w:after="40" w:line="240" w:lineRule="auto"/>
        <w:ind w:left="108" w:hanging="108"/>
        <w:jc w:val="center"/>
      </w:pPr>
    </w:p>
    <w:p>
      <w:pPr>
        <w:pStyle w:val="正文 A"/>
        <w:widowControl w:val="0"/>
        <w:spacing w:after="40" w:line="240" w:lineRule="auto"/>
        <w:jc w:val="center"/>
      </w:pPr>
    </w:p>
    <w:p>
      <w:pPr>
        <w:pStyle w:val="正文 A"/>
        <w:spacing w:before="100" w:after="60"/>
      </w:pP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 xml:space="preserve">其他说明 </w:t>
      </w:r>
      <w:r>
        <w:rPr>
          <w:b w:val="1"/>
          <w:bCs w:val="1"/>
          <w:color w:val="147a56"/>
          <w:sz w:val="21"/>
          <w:szCs w:val="21"/>
          <w:u w:color="147a56"/>
          <w:rtl w:val="0"/>
          <w:lang w:val="en-US"/>
        </w:rPr>
        <w:t xml:space="preserve">/ </w:t>
      </w:r>
      <w:r>
        <w:rPr>
          <w:rFonts w:eastAsia="PingFang SC Semibold" w:hint="eastAsia"/>
          <w:color w:val="147a56"/>
          <w:sz w:val="21"/>
          <w:szCs w:val="21"/>
          <w:u w:color="147a56"/>
          <w:rtl w:val="0"/>
          <w:lang w:val="en-US"/>
        </w:rPr>
        <w:t>特殊情况</w:t>
      </w:r>
    </w:p>
    <w:tbl>
      <w:tblPr>
        <w:tblW w:w="10570" w:type="dxa"/>
        <w:jc w:val="center"/>
        <w:tblInd w:w="21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570"/>
      </w:tblGrid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  <w:tr>
        <w:tblPrEx>
          <w:shd w:val="clear" w:color="auto" w:fill="ced7e7"/>
        </w:tblPrEx>
        <w:trPr>
          <w:trHeight w:val="490" w:hRule="atLeast"/>
        </w:trPr>
        <w:tc>
          <w:tcPr>
            <w:tcW w:type="dxa" w:w="10570"/>
            <w:tcBorders>
              <w:top w:val="single" w:color="91a39a" w:sz="6" w:space="0" w:shadow="0" w:frame="0"/>
              <w:left w:val="single" w:color="91a39a" w:sz="6" w:space="0" w:shadow="0" w:frame="0"/>
              <w:bottom w:val="single" w:color="91a39a" w:sz="6" w:space="0" w:shadow="0" w:frame="0"/>
              <w:right w:val="single" w:color="91a39a" w:sz="6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/>
        </w:tc>
      </w:tr>
    </w:tbl>
    <w:p>
      <w:pPr>
        <w:pStyle w:val="正文 A"/>
        <w:widowControl w:val="0"/>
        <w:spacing w:before="100" w:after="60" w:line="240" w:lineRule="auto"/>
        <w:ind w:left="108" w:hanging="108"/>
        <w:jc w:val="center"/>
      </w:pPr>
      <w:r/>
    </w:p>
    <w:sectPr>
      <w:headerReference w:type="default" r:id="rId4"/>
      <w:footerReference w:type="default" r:id="rId5"/>
      <w:pgSz w:w="12240" w:h="15840" w:orient="portrait"/>
      <w:pgMar w:top="893" w:right="936" w:bottom="835" w:left="936" w:header="720" w:footer="259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PingFang SC Semibold">
    <w:charset w:val="00"/>
    <w:family w:val="roman"/>
    <w:pitch w:val="default"/>
  </w:font>
  <w:font w:name="PingFang SC Regular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jc w:val="center"/>
    </w:pPr>
    <w:r>
      <w:rPr>
        <w:noProof/>
        <w:color w:val="6f7b76"/>
        <w:sz w:val="16"/>
        <w:szCs w:val="16"/>
        <w:u w:color="6f7b76"/>
        <w:rtl w:val="0"/>
        <w:lang w:val="en-US"/>
      </w:rPr>
      <w:t xml:space="preserve">LEGAVIK  </w:t>
    </w:r>
    <w:r>
      <w:rPr>
        <w:color w:val="6f7b76"/>
        <w:sz w:val="16"/>
        <w:szCs w:val="16"/>
        <w:u w:color="6f7b76"/>
        <w:rtl w:val="0"/>
        <w:lang w:val="en-US"/>
      </w:rPr>
      <w:t xml:space="preserve">·  </w:t>
    </w:r>
    <w:r>
      <w:rPr>
        <w:color w:val="6f7b76"/>
        <w:sz w:val="16"/>
        <w:szCs w:val="16"/>
        <w:u w:color="6f7b76"/>
        <w:rtl w:val="0"/>
        <w:lang w:val="en-US"/>
      </w:rPr>
      <w:t>Recovery Map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spacing w:before="0" w:after="0" w:line="240" w:lineRule="auto"/>
      <w:jc w:val="left"/>
    </w:pPr>
    <w:r>
      <w:rPr>
        <w:rFonts w:ascii="Arial" w:hAnsi="Arial" w:eastAsia="Arial"/>
        <w:b/>
        <w:color w:val="0B4F3C"/>
        <w:sz w:val="18"/>
        <w:noProof/>
      </w:rPr>
      <w:t>LEGAVIK · Recovery Map</w:t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1"/>
  <w:evenAndOddHeaders w:val="0"/>
  <w:bookFoldPrinting w:val="0"/>
  <w:noLineBreaksAfter w:lang="中文" w:val="‘“(〔[{〈《「『【⦅〘〖«〝︵︷︹︻︽︿﹁﹃﹇﹙﹛﹝｢"/>
  <w:noLineBreaksBefore w:lang="中文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页眉与页脚">
    <w:name w:val="页眉与页脚"/>
    <w:next w:val="页眉与页脚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vertAlign w:val="baseline"/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 A">
    <w:name w:val="正文 A"/>
    <w:next w:val="正文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vertAlign w:val="baseline"/>
      <w:lang w:val="en-US"/>
    </w:rPr>
  </w:style>
  <w:style w:type="paragraph" w:styleId="正文">
    <w:name w:val="正文"/>
    <w:next w:val="正文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 Unicode MS" w:cs="Arial Unicode MS" w:hAnsi="Arial Unicode MS" w:eastAsia="Times New Roman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vertAlign w:val="baseline"/>
      <w:lang w:val="zh-CN" w:eastAsia="zh-CN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LEGAVIK Module4 恢复与转移步骤 单一平台恢复步骤 Canonical V2</dc:title>
  <dc:subject>Digital Asset Recovery Infrastructure</dc:subject>
  <dc:creator>LEGAVIK</dc:creator>
  <cp:lastModifiedBy>LEGAVIK</cp:lastModifiedBy>
  <cp:keywords>LEGAVIK, Digital Asset Recovery &amp; Legacy, Recovery Map</cp:keywords>
</cp:coreProperties>
</file>