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 A"/>
        <w:spacing w:after="120" w:line="288" w:lineRule="auto"/>
      </w:pPr>
      <w:r>
        <w:rPr>
          <w:noProof/>
          <w:color w:val="5e6b67"/>
          <w:sz w:val="19"/>
          <w:szCs w:val="19"/>
          <w:u w:color="6f7b76"/>
          <w:rtl w:val="0"/>
          <w:lang w:val="en-US"/>
        </w:rPr>
        <w:t xml:space="preserve">LEGAVIK </w:t>
      </w:r>
      <w:r>
        <w:rPr>
          <w:color w:val="5e6b67"/>
          <w:sz w:val="19"/>
          <w:szCs w:val="19"/>
          <w:u w:color="6f7b76"/>
          <w:rtl w:val="0"/>
          <w:lang w:val="en-US"/>
        </w:rPr>
        <w:t xml:space="preserve">· </w:t>
      </w:r>
      <w:r>
        <w:rPr>
          <w:color w:val="5e6b67"/>
          <w:sz w:val="19"/>
          <w:szCs w:val="19"/>
          <w:u w:color="6f7b76"/>
          <w:rtl w:val="0"/>
          <w:lang w:val="en-US"/>
        </w:rPr>
        <w:t>Recovery Map</w:t>
      </w:r>
    </w:p>
    <w:p>
      <w:pPr>
        <w:pStyle w:val="正文 A"/>
        <w:spacing w:after="160" w:line="25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模块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>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｜恢复与转移步骤｜恢复步骤汇总</w:t>
      </w:r>
    </w:p>
    <w:p>
      <w:pPr>
        <w:pStyle w:val="正文 A"/>
        <w:spacing w:line="31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23"/>
          <w:szCs w:val="23"/>
          <w:u w:color="6f7b76"/>
          <w:rtl w:val="0"/>
          <w:lang w:val="en-US"/>
        </w:rPr>
        <w:t>按不同账户类型和设备状态，记录实际登录、恢复和必要转移的操作顺序。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2571" w:hRule="atLeast"/>
        </w:trPr>
        <w:tc>
          <w:tcPr>
            <w:tcW w:type="dxa" w:w="10570"/>
            <w:tcBorders>
              <w:top w:val="single" w:color="ddebe4" w:sz="5" w:space="0" w:shadow="0" w:frame="0"/>
              <w:left w:val="single" w:color="ddebe4" w:sz="5" w:space="0" w:shadow="0" w:frame="0"/>
              <w:bottom w:val="single" w:color="ddebe4" w:sz="5" w:space="0" w:shadow="0" w:frame="0"/>
              <w:right w:val="single" w:color="ddebe4" w:sz="5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40" w:line="276" w:lineRule="auto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填写说明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本文件用于集中记录多个平台或钱包的恢复与转移步骤；如相关内容较复杂，可结合文档、图片、音频或其他附件进行补充。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同一账户在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原有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备用设备仍可用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ja-JP" w:eastAsia="ja-JP"/>
              </w:rPr>
              <w:t>和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原有设备不可用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使用新设备恢复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两种情况下，操作路径可能明显不同，因此建议分别记录。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建议先确认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Module 2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所需恢复条件已经准备、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Module 3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关键材料与设备已经找到，再填写本模块。步骤应以真实账户、官方流程或实际演练结果为准。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涉及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Seed Phrase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（助记词）或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Private Key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（私钥）时，只记录操作方式和顺序，不要在本文件中填写完整内容。</w:t>
            </w:r>
          </w:p>
        </w:tc>
      </w:tr>
    </w:tbl>
    <w:p>
      <w:pPr>
        <w:pStyle w:val="正文 A"/>
        <w:widowControl w:val="0"/>
        <w:spacing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40" w:after="8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不同账户类型的填写重点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3096"/>
        <w:gridCol w:w="4824"/>
      </w:tblGrid>
      <w:tr>
        <w:tblPrEx>
          <w:shd w:val="clear" w:color="auto" w:fill="ced7e7"/>
        </w:tblPrEx>
        <w:trPr>
          <w:trHeight w:val="313" w:hRule="atLeast"/>
        </w:trPr>
        <w:tc>
          <w:tcPr>
            <w:tcW w:type="dxa" w:w="223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类型</w:t>
            </w:r>
          </w:p>
        </w:tc>
        <w:tc>
          <w:tcPr>
            <w:tcW w:type="dxa" w:w="30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适用对象</w:t>
            </w:r>
          </w:p>
        </w:tc>
        <w:tc>
          <w:tcPr>
            <w:tcW w:type="dxa" w:w="4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步骤重点</w:t>
            </w:r>
          </w:p>
        </w:tc>
      </w:tr>
      <w:tr>
        <w:tblPrEx>
          <w:shd w:val="clear" w:color="auto" w:fill="ced7e7"/>
        </w:tblPrEx>
        <w:trPr>
          <w:trHeight w:val="50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｜中心化交易所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Binance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OKX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Coinbase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登录验证、账户恢复、身份核验、安全检查及必要转移</w:t>
            </w:r>
          </w:p>
        </w:tc>
      </w:tr>
      <w:tr>
        <w:tblPrEx>
          <w:shd w:val="clear" w:color="auto" w:fill="ced7e7"/>
        </w:tblPrEx>
        <w:trPr>
          <w:trHeight w:val="50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B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｜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DEX / DeFi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Uniswap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Aave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先恢复关联钱包，再重新连接协议并核对仓位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授权</w:t>
            </w:r>
          </w:p>
        </w:tc>
      </w:tr>
      <w:tr>
        <w:tblPrEx>
          <w:shd w:val="clear" w:color="auto" w:fill="ced7e7"/>
        </w:tblPrEx>
        <w:trPr>
          <w:trHeight w:val="50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C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｜自托管钱包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热钱包、冷钱包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原设备解锁或新设备导入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恢复、核对地址与资产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｜多签钱包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Safe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恢复达到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Threshold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数量的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，再完成提案、签名与执行</w:t>
            </w:r>
          </w:p>
        </w:tc>
      </w:tr>
    </w:tbl>
    <w:p>
      <w:pPr>
        <w:pStyle w:val="正文 A"/>
        <w:widowControl w:val="0"/>
        <w:spacing w:before="140" w:after="80" w:line="240" w:lineRule="auto"/>
        <w:ind w:left="108" w:hanging="108"/>
        <w:jc w:val="center"/>
      </w:pPr>
    </w:p>
    <w:p>
      <w:pPr>
        <w:pStyle w:val="正文 A"/>
        <w:widowControl w:val="0"/>
        <w:spacing w:before="140" w:after="80" w:line="240" w:lineRule="auto"/>
        <w:jc w:val="center"/>
      </w:pPr>
    </w:p>
    <w:p>
      <w:pPr>
        <w:pStyle w:val="正文 A"/>
        <w:spacing w:after="40"/>
      </w:pPr>
      <w:r>
        <w:rPr>
          <w:noProof/>
          <w:color w:val="5e6b67"/>
          <w:sz w:val="18"/>
          <w:szCs w:val="18"/>
          <w:u w:color="6f7b76"/>
          <w:rtl w:val="0"/>
          <w:lang w:val="en-US"/>
        </w:rPr>
        <w:t xml:space="preserve">LEGAVIK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｜中心化交易所填写页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 xml:space="preserve">用于记录中心化交易所在原有 </w:t>
      </w:r>
      <w:r>
        <w:rPr>
          <w:color w:val="6f7b76"/>
          <w:sz w:val="22"/>
          <w:szCs w:val="22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备用设备可用或需要新设备恢复时的操作步骤。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ja-JP" w:eastAsia="ja-JP"/>
              </w:rPr>
              <w:t>交易所名称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账户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交易所注册邮箱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交易所注册手机号（如使用）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p>
      <w:pPr>
        <w:pStyle w:val="正文"/>
        <w:spacing w:after="10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已确认恢复条件由系统按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 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TW" w:eastAsia="zh-TW"/>
        </w:rPr>
        <w:t>、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TW" w:eastAsia="zh-TW"/>
        </w:rPr>
        <w:t>、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03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 xml:space="preserve">…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分行带入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确认结果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 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说明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，便于逐项核对。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模块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2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所需恢复条件已准备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模块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3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关键材料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设备已找到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正在使用交易所官方入口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后续接收地址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after="100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624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47a56"/>
                <w:rtl w:val="0"/>
                <w:lang w:val="zh-CN" w:eastAsia="zh-CN"/>
              </w:rPr>
              <w:t>重要提示｜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</w:pPr>
    </w:p>
    <w:p>
      <w:pPr>
        <w:pStyle w:val="正文 A"/>
        <w:spacing w:after="40"/>
      </w:pPr>
      <w:r>
        <w:rPr>
          <w:noProof/>
          <w:color w:val="5e6b67"/>
          <w:sz w:val="18"/>
          <w:szCs w:val="18"/>
          <w:u w:color="6f7b76"/>
          <w:rtl w:val="0"/>
          <w:lang w:val="en-US"/>
        </w:rPr>
        <w:t xml:space="preserve">LEGAVIK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</w:t>
      </w:r>
      <w:r>
        <w:rPr>
          <w:b w:val="1"/>
          <w:bCs w:val="1"/>
          <w:color w:val="147a56"/>
          <w:sz w:val="44"/>
          <w:szCs w:val="44"/>
          <w:u w:color="147a56"/>
          <w:rtl w:val="0"/>
          <w:lang w:val="da-DK"/>
        </w:rPr>
        <w:t>DEX / DeFi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填写页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先恢复关联钱包，再记录重新连接协议和必要操作的实际步骤。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协议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ja-JP" w:eastAsia="ja-JP"/>
              </w:rPr>
              <w:t>平台名称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关联钱包关键材料已找到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协议官方入口已确认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后续资产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仓位处理方案已确认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624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47a56"/>
                <w:rtl w:val="0"/>
                <w:lang w:val="zh-CN" w:eastAsia="zh-CN"/>
              </w:rPr>
              <w:t>重要提示｜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</w:pPr>
    </w:p>
    <w:p>
      <w:pPr>
        <w:pStyle w:val="正文 A"/>
        <w:spacing w:after="40"/>
      </w:pPr>
      <w:r>
        <w:rPr>
          <w:noProof/>
          <w:color w:val="5e6b67"/>
          <w:sz w:val="18"/>
          <w:szCs w:val="18"/>
          <w:u w:color="6f7b76"/>
          <w:rtl w:val="0"/>
          <w:lang w:val="en-US"/>
        </w:rPr>
        <w:t xml:space="preserve">LEGAVIK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C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｜自托管钱包填写页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适用于热钱包和冷钱包。记录原设备可用或新设备恢复时的实际操作顺序。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钱包名称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品牌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钱包类别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钱包使用软件（如需要）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关键恢复材料已找到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官方软件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设备来源已确认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目标地址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后续处理方案已确认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624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47a56"/>
                <w:rtl w:val="0"/>
                <w:lang w:val="zh-CN" w:eastAsia="zh-CN"/>
              </w:rPr>
              <w:t>重要提示｜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</w:pPr>
    </w:p>
    <w:p>
      <w:pPr>
        <w:pStyle w:val="正文 A"/>
        <w:spacing w:after="40"/>
      </w:pPr>
      <w:r>
        <w:rPr>
          <w:noProof/>
          <w:color w:val="5e6b67"/>
          <w:sz w:val="18"/>
          <w:szCs w:val="18"/>
          <w:u w:color="6f7b76"/>
          <w:rtl w:val="0"/>
          <w:lang w:val="en-US"/>
        </w:rPr>
        <w:t xml:space="preserve">LEGAVIK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D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｜多签钱包填写页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记录恢复达到</w:t>
      </w:r>
      <w:r>
        <w:rPr>
          <w:color w:val="6f7b76"/>
          <w:sz w:val="22"/>
          <w:szCs w:val="22"/>
          <w:u w:color="6f7b76"/>
          <w:rtl w:val="0"/>
          <w:lang w:val="da-DK"/>
        </w:rPr>
        <w:t>Threshold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数量的</w:t>
      </w:r>
      <w:r>
        <w:rPr>
          <w:color w:val="6f7b76"/>
          <w:sz w:val="22"/>
          <w:szCs w:val="22"/>
          <w:u w:color="6f7b76"/>
          <w:rtl w:val="0"/>
          <w:lang w:val="da-DK"/>
        </w:rPr>
        <w:t>Signer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，以及后续提案、签名和执行的操作步骤。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多签钱包名称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多签地址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数量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Threshold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多签结构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/ Threshold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达到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Threshold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数量的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可以恢复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各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关键材料已找到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多签官方入口已确认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624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47a56"/>
                <w:rtl w:val="0"/>
                <w:lang w:val="zh-CN" w:eastAsia="zh-CN"/>
              </w:rPr>
              <w:t>重要提示｜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  <w:r/>
    </w:p>
    <w:sectPr>
      <w:headerReference w:type="default" r:id="rId4"/>
      <w:footerReference w:type="default" r:id="rId5"/>
      <w:pgSz w:w="12240" w:h="15840" w:orient="portrait"/>
      <w:pgMar w:top="893" w:right="936" w:bottom="835" w:left="936" w:header="259" w:footer="25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Semibold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noProof/>
        <w:color w:val="6f7b76"/>
        <w:sz w:val="16"/>
        <w:szCs w:val="16"/>
        <w:u w:color="6f7b76"/>
        <w:rtl w:val="0"/>
        <w:lang w:val="en-US"/>
      </w:rPr>
      <w:t xml:space="preserve">LEGAVIK  </w:t>
    </w:r>
    <w:r>
      <w:rPr>
        <w:color w:val="6f7b76"/>
        <w:sz w:val="16"/>
        <w:szCs w:val="16"/>
        <w:u w:color="6f7b76"/>
        <w:rtl w:val="0"/>
        <w:lang w:val="en-US"/>
      </w:rPr>
      <w:t xml:space="preserve">·  </w:t>
    </w:r>
    <w:r>
      <w:rPr>
        <w:color w:val="6f7b76"/>
        <w:sz w:val="16"/>
        <w:szCs w:val="16"/>
        <w:u w:color="6f7b76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LEGAVIK · Recovery Map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 A">
    <w:name w:val="正文 A"/>
    <w:next w:val="正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Times New Roma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zh-CN" w:eastAsia="zh-C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LEGAVIK Module4 恢复与转移步骤 恢复步骤汇总 Canonical V2</dc:title>
  <dc:subject>Digital Asset Recovery Infrastructure</dc:subject>
  <dc:creator>LEGAVIK</dc:creator>
  <cp:lastModifiedBy>LEGAVIK</cp:lastModifiedBy>
  <cp:keywords>LEGAVIK, Digital Asset Recovery &amp; Legacy, Recovery Map</cp:keywords>
</cp:coreProperties>
</file>