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把模块</w:t>
      </w:r>
      <w:r>
        <w:rPr>
          <w:rFonts w:ascii="Arial" w:hAnsi="Arial" w:eastAsia="Arial Unicode MS"/>
          <w:color w:val="66766F"/>
          <w:sz w:val="22"/>
          <w:szCs w:val="22"/>
          <w:u w:color="6e7a75"/>
          <w:rtl w:val="0"/>
        </w:rPr>
        <w:t>2</w:t>
      </w: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line="259" w:lineRule="auto" w:before="0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0" w:after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以下均为虚构内容，仅用于展示填写方式。实际信息应由客户根据自己的账户、设备与恢复安排确认，不要照抄。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备用手机当前仍可访问该交易所注册邮箱；手机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电脑解锁密码已另行记录。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备用手机：书房保险柜；邮箱登录密码：密码管理器；手机解锁密码：密码管理器。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已确认该邮箱存在备用恢复方式；具体恢复条件以邮箱服务商官方流程为准。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相关邮箱恢复资料（纸质或电子材料）：纸质材料放在家庭文件柜；电子材料保存在加密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邮箱登录密码；已确认的其他邮箱恢复资料（纸质或电子材料）。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邮箱登录密码：密码管理器中的具体条目；纸质材料：书房文件柜；电子材料：加密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提示：本项用于说明交易所注册邮箱在原有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备用设备可用与不可用两种情况下的访问方式，以及邮箱登录密码、设备解锁密码和相关恢复资料的具体保存位置。实际填写时应以本人邮箱服务商的真实恢复方式为准。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原有手机号仍可接收验证码；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SIM / eSIM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位于原有手机。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原有手机：本人日常使用；手机解锁密码：密码管理器。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已确认运营商号码恢复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补卡方式；交易所同时保留其他可用验证方式。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运营商账户资料：家庭恢复资料夹；其他验证方式：交易所注册邮箱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+ 2FA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提示：本项用于说明交易所注册手机号在原有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备用设备可用与不可用两种情况下的取得方式，以及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、手机解锁密码和相关运营商资料的具体位置。若手机号参与验证，建议同时保留其他可用恢复方式，避免手机号成为唯一且不可替代的恢复条件。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Authenticator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验证器。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备用手机当前仍可使用同一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；手机解锁密码已另行记录。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恢复码（如有），或按交易所官方流程重新绑定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恢复码保存位置；没有则写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+ 2FA 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本人日常使用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当前保管位置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+ 2FA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书房保险柜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家庭书房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Funding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Funding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已保存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盘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Backup Codes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护照原件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护照扫描件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原件：家庭文件柜；扫描件：加密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备用手机；承载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Gmail + 2FA + 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书房保险柜；设备解锁密码：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1Password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 xml:space="preserve">提示：正常恢复条件可用时无需使用本项；仅在常规恢复方式均失效时，记录交易所官方客服 </w:t>
      </w:r>
      <w:r>
        <w:rPr>
          <w:rFonts w:ascii="Arial" w:hAnsi="Arial" w:eastAsia="Arial Unicode MS"/>
          <w:color w:val="1D342D"/>
          <w:sz w:val="19"/>
          <w:szCs w:val="16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>账户恢复入口。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备用设备是否仍可使用；如可用，记录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填写提示：请记录当前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方式，以及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/ 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中。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的恢复重点通常落在其关联钱包。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12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App Unlock Password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Main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示例：如该协议存在特殊访问、授权或恢复安排，可在此说明；没有则写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先写清楚协议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>/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以下均为虚构内容，仅用于展示热钱包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冷钱包的填写方式。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8"/>
                <w:u w:color="22302a"/>
                <w:rtl w:val="0"/>
                <w:lang w:val="en-US"/>
              </w:rPr>
              <w:t>冷钱包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24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设备解锁密码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Device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多签恢复的重点不是找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一套助记词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，而是恢复足够数量的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以达到设定的签名阈值。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本人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Ledger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记录：家庭文件柜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配偶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MetaMask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设备：家庭保险箱；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记录：配偶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Recovery Kit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Hardware Wallet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律师保管设备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见律师托管说明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示例解释：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表示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个有效签名即可达到阈值。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则需要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中的任意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个。实际设置以客户自己的多签钱包为准。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请记录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总数、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以及每个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自身的恢复路径。没有的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行建议填写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。例如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；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汇总填写模板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