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正文"/>
        <w:spacing w:after="120" w:line="288" w:lineRule="auto"/>
      </w:pPr>
      <w:r>
        <w:rPr>
          <w:noProof/>
          <w:rFonts w:ascii="Arial" w:hAnsi="Arial"/>
          <w:color w:val="5e6b67"/>
          <w:sz w:val="19"/>
          <w:szCs w:val="19"/>
          <w:u w:color="5e6b67"/>
          <w:rtl w:val="0"/>
          <w:lang w:val="nl-NL"/>
        </w:rPr>
        <w:t xml:space="preserve">LEGAVIK </w:t>
      </w:r>
      <w:r>
        <w:rPr>
          <w:rFonts w:ascii="Arial" w:hAnsi="Arial" w:hint="default"/>
          <w:color w:val="5e6b67"/>
          <w:sz w:val="19"/>
          <w:szCs w:val="19"/>
          <w:u w:color="5e6b67"/>
          <w:rtl w:val="0"/>
          <w:lang w:val="en-US"/>
        </w:rPr>
        <w:t xml:space="preserve">· </w:t>
      </w:r>
      <w:r>
        <w:rPr>
          <w:rFonts w:ascii="Arial" w:hAnsi="Arial"/>
          <w:color w:val="5e6b67"/>
          <w:sz w:val="19"/>
          <w:szCs w:val="19"/>
          <w:u w:color="5e6b67"/>
          <w:rtl w:val="0"/>
          <w:lang w:val="en-US"/>
        </w:rPr>
        <w:t>Recovery Map</w:t>
      </w:r>
    </w:p>
    <w:p>
      <w:pPr>
        <w:pStyle w:val="正文"/>
        <w:spacing w:after="160" w:line="252" w:lineRule="auto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0b6b4f"/>
          <w:sz w:val="44"/>
          <w:szCs w:val="44"/>
          <w:u w:color="0b6b4f"/>
          <w:rtl w:val="0"/>
          <w:lang w:val="en-US"/>
        </w:rPr>
        <w:t>模块</w:t>
      </w:r>
      <w:r>
        <w:rPr>
          <w:rFonts w:ascii="Arial" w:hAnsi="Arial"/>
          <w:b w:val="1"/>
          <w:bCs w:val="1"/>
          <w:color w:val="0b6b4f"/>
          <w:sz w:val="44"/>
          <w:szCs w:val="44"/>
          <w:u w:color="0b6b4f"/>
          <w:rtl w:val="0"/>
          <w:lang w:val="en-US"/>
        </w:rPr>
        <w:t xml:space="preserve"> </w:t>
      </w:r>
      <w:r>
        <w:rPr>
          <w:rFonts w:ascii="Arial" w:hAnsi="Arial"/>
          <w:b w:val="1"/>
          <w:bCs w:val="1"/>
          <w:color w:val="0b6b4f"/>
          <w:sz w:val="44"/>
          <w:szCs w:val="44"/>
          <w:u w:color="0b6b4f"/>
          <w:rtl w:val="0"/>
        </w:rPr>
        <w:t>2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0b6b4f"/>
          <w:sz w:val="44"/>
          <w:szCs w:val="44"/>
          <w:u w:color="0b6b4f"/>
          <w:rtl w:val="0"/>
          <w:lang w:val="en-US"/>
        </w:rPr>
        <w:t>｜恢复所需条件与资料</w:t>
      </w:r>
    </w:p>
    <w:p>
      <w:pPr>
        <w:pStyle w:val="正文"/>
        <w:spacing w:line="312" w:lineRule="auto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5e6b67"/>
          <w:sz w:val="23"/>
          <w:szCs w:val="23"/>
          <w:u w:color="5e6b67"/>
          <w:rtl w:val="0"/>
          <w:lang w:val="en-US"/>
        </w:rPr>
        <w:t>汇总当前</w:t>
      </w:r>
      <w:r>
        <w:rPr>
          <w:rFonts w:ascii="Arial" w:hAnsi="Arial"/>
          <w:color w:val="5e6b67"/>
          <w:sz w:val="23"/>
          <w:szCs w:val="23"/>
          <w:u w:color="5e6b67"/>
          <w:rtl w:val="0"/>
          <w:lang w:val="en-US"/>
        </w:rPr>
        <w:t xml:space="preserve"> </w:t>
      </w:r>
      <w:r>
        <w:rPr>
          <w:rFonts w:ascii="Arial" w:hAnsi="Arial"/>
          <w:color w:val="5e6b67"/>
          <w:sz w:val="23"/>
          <w:szCs w:val="23"/>
          <w:u w:color="5e6b67"/>
          <w:rtl w:val="0"/>
          <w:lang w:val="en-US"/>
        </w:rPr>
        <w:t xml:space="preserve">Recovery Map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5e6b67"/>
          <w:sz w:val="23"/>
          <w:szCs w:val="23"/>
          <w:u w:color="5e6b67"/>
          <w:rtl w:val="0"/>
          <w:lang w:val="en-US"/>
        </w:rPr>
        <w:t>中各平台或钱包已经确认的恢复条件。</w:t>
      </w:r>
    </w:p>
    <w:tbl>
      <w:tblPr>
        <w:tblW w:w="10224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224"/>
      </w:tblGrid>
      <w:tr>
        <w:tblPrEx>
          <w:shd w:val="clear" w:color="auto" w:fill="ced7e7"/>
        </w:tblPrEx>
        <w:trPr>
          <w:trHeight w:val="2578" w:hRule="atLeast"/>
        </w:trPr>
        <w:tc>
          <w:tcPr>
            <w:tcW w:type="dxa" w:w="10224"/>
            <w:tcBorders>
              <w:top w:val="nil"/>
              <w:left w:val="nil"/>
              <w:bottom w:val="nil"/>
              <w:right w:val="nil"/>
            </w:tcBorders>
            <w:shd w:val="clear" w:color="auto" w:fill="eaf4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spacing w:after="120"/>
              <w:rPr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0b6b4f"/>
                <w:sz w:val="24"/>
                <w:szCs w:val="24"/>
                <w:u w:color="0b6b4f"/>
                <w:rtl w:val="0"/>
                <w:lang w:val="en-US"/>
              </w:rPr>
              <w:t>文件说明</w:t>
            </w:r>
          </w:p>
          <w:p>
            <w:pPr>
              <w:pStyle w:val="正文"/>
              <w:bidi w:val="0"/>
              <w:spacing w:after="80" w:line="30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 w:hint="default"/>
                <w:color w:val="12382f"/>
                <w:sz w:val="21"/>
                <w:szCs w:val="21"/>
                <w:u w:color="12382f"/>
                <w:rtl w:val="0"/>
                <w:lang w:val="en-US"/>
              </w:rPr>
              <w:t xml:space="preserve">•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21"/>
                <w:szCs w:val="21"/>
                <w:u w:color="12382f"/>
                <w:rtl w:val="0"/>
                <w:lang w:val="en-US"/>
              </w:rPr>
              <w:t>本文件根据当前</w:t>
            </w:r>
            <w:r>
              <w:rPr>
                <w:rFonts w:ascii="Arial" w:hAnsi="Arial"/>
                <w:color w:val="12382f"/>
                <w:sz w:val="21"/>
                <w:szCs w:val="21"/>
                <w:u w:color="12382f"/>
                <w:rtl w:val="0"/>
                <w:lang w:val="en-US"/>
              </w:rPr>
              <w:t xml:space="preserve"> </w:t>
            </w:r>
            <w:r>
              <w:rPr>
                <w:rFonts w:ascii="Arial" w:hAnsi="Arial"/>
                <w:color w:val="12382f"/>
                <w:sz w:val="21"/>
                <w:szCs w:val="21"/>
                <w:u w:color="12382f"/>
                <w:rtl w:val="0"/>
                <w:lang w:val="en-US"/>
              </w:rPr>
              <w:t xml:space="preserve">Recovery Map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21"/>
                <w:szCs w:val="21"/>
                <w:u w:color="12382f"/>
                <w:rtl w:val="0"/>
                <w:lang w:val="en-US"/>
              </w:rPr>
              <w:t>中已确认的平台</w:t>
            </w:r>
            <w:r>
              <w:rPr>
                <w:rFonts w:ascii="Arial" w:hAnsi="Arial"/>
                <w:color w:val="12382f"/>
                <w:sz w:val="21"/>
                <w:szCs w:val="21"/>
                <w:u w:color="12382f"/>
                <w:rtl w:val="0"/>
                <w:lang w:val="en-US"/>
              </w:rPr>
              <w:t xml:space="preserve"> </w:t>
            </w:r>
            <w:r>
              <w:rPr>
                <w:rFonts w:ascii="Arial" w:hAnsi="Arial"/>
                <w:color w:val="12382f"/>
                <w:sz w:val="21"/>
                <w:szCs w:val="21"/>
                <w:u w:color="12382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21"/>
                <w:szCs w:val="21"/>
                <w:u w:color="12382f"/>
                <w:rtl w:val="0"/>
                <w:lang w:val="en-US"/>
              </w:rPr>
              <w:t>钱包及恢复条件自动生成，用于集中查看，并与后续</w:t>
            </w:r>
            <w:r>
              <w:rPr>
                <w:rFonts w:ascii="Arial" w:hAnsi="Arial" w:hint="default"/>
                <w:color w:val="12382f"/>
                <w:sz w:val="21"/>
                <w:szCs w:val="21"/>
                <w:u w:color="12382f"/>
                <w:rtl w:val="0"/>
                <w:lang w:val="en-US"/>
              </w:rPr>
              <w:t>“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21"/>
                <w:szCs w:val="21"/>
                <w:u w:color="12382f"/>
                <w:rtl w:val="0"/>
                <w:lang w:val="en-US"/>
              </w:rPr>
              <w:t>位置与查找</w:t>
            </w:r>
            <w:r>
              <w:rPr>
                <w:rFonts w:ascii="Arial" w:hAnsi="Arial" w:hint="default"/>
                <w:color w:val="12382f"/>
                <w:sz w:val="21"/>
                <w:szCs w:val="21"/>
                <w:u w:color="12382f"/>
                <w:rtl w:val="0"/>
                <w:lang w:val="en-US"/>
              </w:rPr>
              <w:t>”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21"/>
                <w:szCs w:val="21"/>
                <w:u w:color="12382f"/>
                <w:rtl w:val="0"/>
                <w:lang w:val="en-US"/>
              </w:rPr>
              <w:t>和</w:t>
            </w:r>
            <w:r>
              <w:rPr>
                <w:rFonts w:ascii="Arial" w:hAnsi="Arial" w:hint="default"/>
                <w:color w:val="12382f"/>
                <w:sz w:val="21"/>
                <w:szCs w:val="21"/>
                <w:u w:color="12382f"/>
                <w:rtl w:val="0"/>
                <w:lang w:val="en-US"/>
              </w:rPr>
              <w:t>“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21"/>
                <w:szCs w:val="21"/>
                <w:u w:color="12382f"/>
                <w:rtl w:val="0"/>
                <w:lang w:val="en-US"/>
              </w:rPr>
              <w:t>恢复与转移步骤</w:t>
            </w:r>
            <w:r>
              <w:rPr>
                <w:rFonts w:ascii="Arial" w:hAnsi="Arial" w:hint="default"/>
                <w:color w:val="12382f"/>
                <w:sz w:val="21"/>
                <w:szCs w:val="21"/>
                <w:u w:color="12382f"/>
                <w:rtl w:val="0"/>
                <w:lang w:val="en-US"/>
              </w:rPr>
              <w:t>”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21"/>
                <w:szCs w:val="21"/>
                <w:u w:color="12382f"/>
                <w:rtl w:val="0"/>
                <w:lang w:val="en-US"/>
              </w:rPr>
              <w:t>对应。</w:t>
            </w:r>
          </w:p>
          <w:p>
            <w:pPr>
              <w:pStyle w:val="正文"/>
              <w:bidi w:val="0"/>
              <w:spacing w:after="80" w:line="30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 w:hint="default"/>
                <w:color w:val="12382f"/>
                <w:sz w:val="21"/>
                <w:szCs w:val="21"/>
                <w:u w:color="12382f"/>
                <w:rtl w:val="0"/>
                <w:lang w:val="en-US"/>
              </w:rPr>
              <w:t xml:space="preserve">•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21"/>
                <w:szCs w:val="21"/>
                <w:u w:color="12382f"/>
                <w:rtl w:val="0"/>
                <w:lang w:val="en-US"/>
              </w:rPr>
              <w:t>文件只显示已经确认的恢复条件；未选择的项目不重复呈现。</w:t>
            </w:r>
          </w:p>
          <w:p>
            <w:pPr>
              <w:pStyle w:val="正文"/>
              <w:bidi w:val="0"/>
              <w:spacing w:after="80" w:line="30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 w:hint="default"/>
                <w:color w:val="12382f"/>
                <w:sz w:val="21"/>
                <w:szCs w:val="21"/>
                <w:u w:color="12382f"/>
                <w:rtl w:val="0"/>
                <w:lang w:val="en-US"/>
              </w:rPr>
              <w:t xml:space="preserve">•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21"/>
                <w:szCs w:val="21"/>
                <w:u w:color="12382f"/>
                <w:rtl w:val="0"/>
                <w:lang w:val="en-US"/>
              </w:rPr>
              <w:t>本文件无需再次填写。平台</w:t>
            </w:r>
            <w:r>
              <w:rPr>
                <w:rFonts w:ascii="Arial" w:hAnsi="Arial"/>
                <w:color w:val="12382f"/>
                <w:sz w:val="21"/>
                <w:szCs w:val="21"/>
                <w:u w:color="12382f"/>
                <w:rtl w:val="0"/>
                <w:lang w:val="en-US"/>
              </w:rPr>
              <w:t xml:space="preserve"> </w:t>
            </w:r>
            <w:r>
              <w:rPr>
                <w:rFonts w:ascii="Arial" w:hAnsi="Arial"/>
                <w:color w:val="12382f"/>
                <w:sz w:val="21"/>
                <w:szCs w:val="21"/>
                <w:u w:color="12382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21"/>
                <w:szCs w:val="21"/>
                <w:u w:color="12382f"/>
                <w:rtl w:val="0"/>
                <w:lang w:val="en-US"/>
              </w:rPr>
              <w:t>钱包或恢复条件发生变化后，应重新生成最新版本。</w:t>
            </w:r>
          </w:p>
          <w:p>
            <w:pPr>
              <w:pStyle w:val="正文"/>
              <w:bidi w:val="0"/>
              <w:spacing w:after="80" w:line="30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 w:hint="default"/>
                <w:color w:val="12382f"/>
                <w:sz w:val="21"/>
                <w:szCs w:val="21"/>
                <w:u w:color="12382f"/>
                <w:rtl w:val="0"/>
                <w:lang w:val="en-US"/>
              </w:rPr>
              <w:t xml:space="preserve">•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21"/>
                <w:szCs w:val="21"/>
                <w:u w:color="12382f"/>
                <w:rtl w:val="0"/>
                <w:lang w:val="en-US"/>
              </w:rPr>
              <w:t>本文件只记录恢复条件名称，不记录完整</w:t>
            </w:r>
            <w:r>
              <w:rPr>
                <w:rFonts w:ascii="Arial" w:hAnsi="Arial"/>
                <w:color w:val="12382f"/>
                <w:sz w:val="21"/>
                <w:szCs w:val="21"/>
                <w:u w:color="12382f"/>
                <w:rtl w:val="0"/>
                <w:lang w:val="en-US"/>
              </w:rPr>
              <w:t xml:space="preserve"> </w:t>
            </w:r>
            <w:r>
              <w:rPr>
                <w:rFonts w:ascii="Arial" w:hAnsi="Arial"/>
                <w:color w:val="12382f"/>
                <w:sz w:val="21"/>
                <w:szCs w:val="21"/>
                <w:u w:color="12382f"/>
                <w:rtl w:val="0"/>
                <w:lang w:val="en-US"/>
              </w:rPr>
              <w:t xml:space="preserve">Seed Phrase 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21"/>
                <w:szCs w:val="21"/>
                <w:u w:color="12382f"/>
                <w:rtl w:val="0"/>
                <w:lang w:val="en-US"/>
              </w:rPr>
              <w:t>助记词或完整</w:t>
            </w:r>
            <w:r>
              <w:rPr>
                <w:rFonts w:ascii="Arial" w:hAnsi="Arial"/>
                <w:color w:val="12382f"/>
                <w:sz w:val="21"/>
                <w:szCs w:val="21"/>
                <w:u w:color="12382f"/>
                <w:rtl w:val="0"/>
                <w:lang w:val="en-US"/>
              </w:rPr>
              <w:t xml:space="preserve"> </w:t>
            </w:r>
            <w:r>
              <w:rPr>
                <w:rFonts w:ascii="Arial" w:hAnsi="Arial"/>
                <w:color w:val="12382f"/>
                <w:sz w:val="21"/>
                <w:szCs w:val="21"/>
                <w:u w:color="12382f"/>
                <w:rtl w:val="0"/>
                <w:lang w:val="en-US"/>
              </w:rPr>
              <w:t xml:space="preserve">Private Key 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21"/>
                <w:szCs w:val="21"/>
                <w:u w:color="12382f"/>
                <w:rtl w:val="0"/>
                <w:lang w:val="en-US"/>
              </w:rPr>
              <w:t>私钥。</w:t>
            </w:r>
          </w:p>
        </w:tc>
      </w:tr>
    </w:tbl>
    <w:p>
      <w:pPr>
        <w:pStyle w:val="正文"/>
        <w:widowControl w:val="0"/>
        <w:spacing w:line="240" w:lineRule="auto"/>
        <w:jc w:val="center"/>
      </w:pPr>
    </w:p>
    <w:p>
      <w:pPr>
        <w:pStyle w:val="正文"/>
        <w:spacing w:before="320" w:after="140" w:line="288" w:lineRule="auto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0b6b4f"/>
          <w:sz w:val="28"/>
          <w:szCs w:val="28"/>
          <w:u w:color="0b6b4f"/>
          <w:rtl w:val="0"/>
          <w:lang w:val="en-US"/>
        </w:rPr>
        <w:t>恢复条件汇总</w:t>
      </w:r>
    </w:p>
    <w:tbl>
      <w:tblPr>
        <w:tblW w:w="10224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112"/>
        <w:gridCol w:w="5112"/>
      </w:tblGrid>
      <w:tr>
        <w:tblPrEx>
          <w:shd w:val="clear" w:color="auto" w:fill="ced7e7"/>
        </w:tblPrEx>
        <w:trPr>
          <w:trHeight w:val="280" w:hRule="atLeast"/>
        </w:trPr>
        <w:tc>
          <w:tcPr>
            <w:tcW w:type="dxa" w:w="5112"/>
            <w:tcBorders>
              <w:top w:val="nil"/>
              <w:left w:val="nil"/>
              <w:bottom w:val="nil"/>
              <w:right w:val="nil"/>
            </w:tcBorders>
            <w:shd w:val="clear" w:color="auto" w:fill="f3f6f4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spacing w:after="20" w:line="288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20"/>
                <w:szCs w:val="20"/>
                <w:u w:color="12382f"/>
                <w:rtl w:val="0"/>
                <w:lang w:val="en-US"/>
              </w:rPr>
              <w:t>平台</w:t>
            </w:r>
            <w:r>
              <w:rPr>
                <w:rFonts w:ascii="Arial" w:hAnsi="Arial"/>
                <w:b w:val="1"/>
                <w:bCs w:val="1"/>
                <w:color w:val="12382f"/>
                <w:sz w:val="20"/>
                <w:szCs w:val="20"/>
                <w:u w:color="12382f"/>
                <w:rtl w:val="0"/>
                <w:lang w:val="en-US"/>
              </w:rPr>
              <w:t xml:space="preserve"> </w:t>
            </w:r>
            <w:r>
              <w:rPr>
                <w:rFonts w:ascii="Arial" w:hAnsi="Arial"/>
                <w:b w:val="1"/>
                <w:bCs w:val="1"/>
                <w:color w:val="12382f"/>
                <w:sz w:val="20"/>
                <w:szCs w:val="20"/>
                <w:u w:color="12382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20"/>
                <w:szCs w:val="20"/>
                <w:u w:color="12382f"/>
                <w:rtl w:val="0"/>
                <w:lang w:val="en-US"/>
              </w:rPr>
              <w:t>钱包名称</w:t>
            </w:r>
          </w:p>
        </w:tc>
        <w:tc>
          <w:tcPr>
            <w:tcW w:type="dxa" w:w="511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280" w:hRule="atLeast"/>
        </w:trPr>
        <w:tc>
          <w:tcPr>
            <w:tcW w:type="dxa" w:w="5112"/>
            <w:tcBorders>
              <w:top w:val="nil"/>
              <w:left w:val="nil"/>
              <w:bottom w:val="nil"/>
              <w:right w:val="nil"/>
            </w:tcBorders>
            <w:shd w:val="clear" w:color="auto" w:fill="f3f6f4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spacing w:after="20" w:line="288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20"/>
                <w:szCs w:val="20"/>
                <w:u w:color="12382f"/>
                <w:rtl w:val="0"/>
                <w:lang w:val="en-US"/>
              </w:rPr>
              <w:t>账户类型</w:t>
            </w:r>
          </w:p>
        </w:tc>
        <w:tc>
          <w:tcPr>
            <w:tcW w:type="dxa" w:w="511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623" w:hRule="atLeast"/>
        </w:trPr>
        <w:tc>
          <w:tcPr>
            <w:tcW w:type="dxa" w:w="5112"/>
            <w:tcBorders>
              <w:top w:val="nil"/>
              <w:left w:val="nil"/>
              <w:bottom w:val="nil"/>
              <w:right w:val="nil"/>
            </w:tcBorders>
            <w:shd w:val="clear" w:color="auto" w:fill="f3f6f4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spacing w:after="20" w:line="288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20"/>
                <w:szCs w:val="20"/>
                <w:u w:color="12382f"/>
                <w:rtl w:val="0"/>
                <w:lang w:val="en-US"/>
              </w:rPr>
              <w:t>说明</w:t>
            </w:r>
          </w:p>
        </w:tc>
        <w:tc>
          <w:tcPr>
            <w:tcW w:type="dxa" w:w="511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spacing w:after="20" w:line="288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20"/>
                <w:szCs w:val="20"/>
                <w:u w:color="12382f"/>
                <w:rtl w:val="0"/>
                <w:lang w:val="en-US"/>
              </w:rPr>
              <w:t>以下</w:t>
            </w:r>
            <w:r>
              <w:rPr>
                <w:rFonts w:ascii="Arial" w:hAnsi="Arial" w:hint="default"/>
                <w:color w:val="12382f"/>
                <w:sz w:val="20"/>
                <w:szCs w:val="20"/>
                <w:u w:color="12382f"/>
                <w:rtl w:val="0"/>
                <w:lang w:val="en-US"/>
              </w:rPr>
              <w:t>“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20"/>
                <w:szCs w:val="20"/>
                <w:u w:color="12382f"/>
                <w:rtl w:val="0"/>
                <w:lang w:val="en-US"/>
              </w:rPr>
              <w:t>已确认恢复条件</w:t>
            </w:r>
            <w:r>
              <w:rPr>
                <w:rFonts w:ascii="Arial" w:hAnsi="Arial" w:hint="default"/>
                <w:color w:val="12382f"/>
                <w:sz w:val="20"/>
                <w:szCs w:val="20"/>
                <w:u w:color="12382f"/>
                <w:rtl w:val="0"/>
                <w:lang w:val="en-US"/>
              </w:rPr>
              <w:t>”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20"/>
                <w:szCs w:val="20"/>
                <w:u w:color="12382f"/>
                <w:rtl w:val="0"/>
                <w:lang w:val="en-US"/>
              </w:rPr>
              <w:t>由系统根据客户当前选择自动生成。</w:t>
            </w:r>
          </w:p>
        </w:tc>
      </w:tr>
    </w:tbl>
    <w:p>
      <w:pPr>
        <w:pStyle w:val="正文"/>
        <w:widowControl w:val="0"/>
        <w:spacing w:before="320" w:after="140" w:line="240" w:lineRule="auto"/>
        <w:jc w:val="center"/>
      </w:pPr>
    </w:p>
    <w:p>
      <w:pPr>
        <w:pStyle w:val="正文"/>
        <w:spacing w:before="280" w:after="120" w:line="288" w:lineRule="auto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0b6b4f"/>
          <w:sz w:val="26"/>
          <w:szCs w:val="26"/>
          <w:u w:color="0b6b4f"/>
          <w:rtl w:val="0"/>
          <w:lang w:val="en-US"/>
        </w:rPr>
        <w:t>已确认恢复条件</w:t>
      </w:r>
    </w:p>
    <w:tbl>
      <w:tblPr>
        <w:tblW w:w="10224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112"/>
        <w:gridCol w:w="5112"/>
      </w:tblGrid>
      <w:tr>
        <w:tblPrEx>
          <w:shd w:val="clear" w:color="auto" w:fill="ced7e7"/>
        </w:tblPrEx>
        <w:trPr>
          <w:trHeight w:val="280" w:hRule="atLeast"/>
        </w:trPr>
        <w:tc>
          <w:tcPr>
            <w:tcW w:type="dxa" w:w="5112"/>
            <w:tcBorders>
              <w:top w:val="nil"/>
              <w:left w:val="nil"/>
              <w:bottom w:val="nil"/>
              <w:right w:val="nil"/>
            </w:tcBorders>
            <w:shd w:val="clear" w:color="auto" w:fill="0b6b4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spacing w:after="0" w:line="288" w:lineRule="auto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ffffff"/>
                <w:sz w:val="20"/>
                <w:szCs w:val="20"/>
                <w:u w:color="ffffff"/>
                <w:rtl w:val="0"/>
                <w:lang w:val="en-US"/>
              </w:rPr>
              <w:t>序号</w:t>
            </w:r>
          </w:p>
        </w:tc>
        <w:tc>
          <w:tcPr>
            <w:tcW w:type="dxa" w:w="5112"/>
            <w:tcBorders>
              <w:top w:val="nil"/>
              <w:left w:val="nil"/>
              <w:bottom w:val="nil"/>
              <w:right w:val="nil"/>
            </w:tcBorders>
            <w:shd w:val="clear" w:color="auto" w:fill="0b6b4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spacing w:after="0" w:line="288" w:lineRule="auto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ffffff"/>
                <w:sz w:val="20"/>
                <w:szCs w:val="20"/>
                <w:u w:color="ffffff"/>
                <w:rtl w:val="0"/>
                <w:lang w:val="en-US"/>
              </w:rPr>
              <w:t>恢复条件</w:t>
            </w:r>
          </w:p>
        </w:tc>
      </w:tr>
      <w:tr>
        <w:tblPrEx>
          <w:shd w:val="clear" w:color="auto" w:fill="ced7e7"/>
        </w:tblPrEx>
        <w:trPr>
          <w:trHeight w:val="231" w:hRule="atLeast"/>
        </w:trPr>
        <w:tc>
          <w:tcPr>
            <w:tcW w:type="dxa" w:w="511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spacing w:after="0" w:line="288" w:lineRule="auto"/>
              <w:jc w:val="center"/>
            </w:pPr>
            <w:r>
              <w:rPr>
                <w:rFonts w:ascii="Arial" w:hAnsi="Arial"/>
                <w:color w:val="12382f"/>
                <w:sz w:val="20"/>
                <w:szCs w:val="20"/>
                <w:u w:color="12382f"/>
                <w:rtl w:val="0"/>
                <w:lang w:val="en-US"/>
              </w:rPr>
              <w:t>01</w:t>
            </w:r>
          </w:p>
        </w:tc>
        <w:tc>
          <w:tcPr>
            <w:tcW w:type="dxa" w:w="511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231" w:hRule="atLeast"/>
        </w:trPr>
        <w:tc>
          <w:tcPr>
            <w:tcW w:type="dxa" w:w="511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spacing w:after="0" w:line="288" w:lineRule="auto"/>
              <w:jc w:val="center"/>
            </w:pPr>
            <w:r>
              <w:rPr>
                <w:rFonts w:ascii="Arial" w:hAnsi="Arial"/>
                <w:color w:val="12382f"/>
                <w:sz w:val="20"/>
                <w:szCs w:val="20"/>
                <w:u w:color="12382f"/>
                <w:rtl w:val="0"/>
                <w:lang w:val="en-US"/>
              </w:rPr>
              <w:t>02</w:t>
            </w:r>
          </w:p>
        </w:tc>
        <w:tc>
          <w:tcPr>
            <w:tcW w:type="dxa" w:w="511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231" w:hRule="atLeast"/>
        </w:trPr>
        <w:tc>
          <w:tcPr>
            <w:tcW w:type="dxa" w:w="511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spacing w:after="0" w:line="288" w:lineRule="auto"/>
              <w:jc w:val="center"/>
            </w:pPr>
            <w:r>
              <w:rPr>
                <w:rFonts w:ascii="Arial" w:hAnsi="Arial"/>
                <w:color w:val="12382f"/>
                <w:sz w:val="20"/>
                <w:szCs w:val="20"/>
                <w:u w:color="12382f"/>
                <w:rtl w:val="0"/>
                <w:lang w:val="en-US"/>
              </w:rPr>
              <w:t>03</w:t>
            </w:r>
          </w:p>
        </w:tc>
        <w:tc>
          <w:tcPr>
            <w:tcW w:type="dxa" w:w="511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231" w:hRule="atLeast"/>
        </w:trPr>
        <w:tc>
          <w:tcPr>
            <w:tcW w:type="dxa" w:w="511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spacing w:after="0" w:line="288" w:lineRule="auto"/>
              <w:jc w:val="center"/>
            </w:pPr>
            <w:r>
              <w:rPr>
                <w:rFonts w:ascii="Arial" w:hAnsi="Arial"/>
                <w:color w:val="12382f"/>
                <w:sz w:val="20"/>
                <w:szCs w:val="20"/>
                <w:u w:color="12382f"/>
                <w:rtl w:val="0"/>
                <w:lang w:val="en-US"/>
              </w:rPr>
              <w:t>04</w:t>
            </w:r>
          </w:p>
        </w:tc>
        <w:tc>
          <w:tcPr>
            <w:tcW w:type="dxa" w:w="511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231" w:hRule="atLeast"/>
        </w:trPr>
        <w:tc>
          <w:tcPr>
            <w:tcW w:type="dxa" w:w="511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spacing w:after="0" w:line="288" w:lineRule="auto"/>
              <w:jc w:val="center"/>
            </w:pPr>
            <w:r>
              <w:rPr>
                <w:rFonts w:ascii="Arial" w:hAnsi="Arial"/>
                <w:color w:val="12382f"/>
                <w:sz w:val="20"/>
                <w:szCs w:val="20"/>
                <w:u w:color="12382f"/>
                <w:rtl w:val="0"/>
                <w:lang w:val="en-US"/>
              </w:rPr>
              <w:t>05</w:t>
            </w:r>
          </w:p>
        </w:tc>
        <w:tc>
          <w:tcPr>
            <w:tcW w:type="dxa" w:w="511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231" w:hRule="atLeast"/>
        </w:trPr>
        <w:tc>
          <w:tcPr>
            <w:tcW w:type="dxa" w:w="511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spacing w:after="0" w:line="288" w:lineRule="auto"/>
              <w:jc w:val="center"/>
            </w:pPr>
            <w:r>
              <w:rPr>
                <w:rFonts w:ascii="Arial" w:hAnsi="Arial"/>
                <w:color w:val="12382f"/>
                <w:sz w:val="20"/>
                <w:szCs w:val="20"/>
                <w:u w:color="12382f"/>
                <w:rtl w:val="0"/>
                <w:lang w:val="en-US"/>
              </w:rPr>
              <w:t>06</w:t>
            </w:r>
          </w:p>
        </w:tc>
        <w:tc>
          <w:tcPr>
            <w:tcW w:type="dxa" w:w="511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</w:tbl>
    <w:p>
      <w:pPr>
        <w:pStyle w:val="正文"/>
        <w:widowControl w:val="0"/>
        <w:spacing w:before="280" w:after="120" w:line="240" w:lineRule="auto"/>
        <w:jc w:val="center"/>
      </w:pPr>
    </w:p>
    <w:p>
      <w:pPr>
        <w:pStyle w:val="正文"/>
        <w:spacing w:before="120" w:after="0" w:line="288" w:lineRule="auto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5e6b67"/>
          <w:sz w:val="19"/>
          <w:szCs w:val="19"/>
          <w:u w:color="5e6b67"/>
          <w:rtl w:val="0"/>
          <w:lang w:val="en-US"/>
        </w:rPr>
        <w:t>注：实际生成文件仅保留客户已确认的恢复条件，并按</w:t>
      </w:r>
      <w:r>
        <w:rPr>
          <w:rFonts w:ascii="Arial" w:hAnsi="Arial"/>
          <w:color w:val="5e6b67"/>
          <w:sz w:val="19"/>
          <w:szCs w:val="19"/>
          <w:u w:color="5e6b67"/>
          <w:rtl w:val="0"/>
          <w:lang w:val="en-US"/>
        </w:rPr>
        <w:t xml:space="preserve"> </w:t>
      </w:r>
      <w:r>
        <w:rPr>
          <w:rFonts w:ascii="Arial" w:hAnsi="Arial"/>
          <w:color w:val="5e6b67"/>
          <w:sz w:val="19"/>
          <w:szCs w:val="19"/>
          <w:u w:color="5e6b67"/>
          <w:rtl w:val="0"/>
        </w:rPr>
        <w:t>01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5e6b67"/>
          <w:sz w:val="19"/>
          <w:szCs w:val="19"/>
          <w:u w:color="5e6b67"/>
          <w:rtl w:val="0"/>
          <w:lang w:val="en-US"/>
        </w:rPr>
        <w:t>、</w:t>
      </w:r>
      <w:r>
        <w:rPr>
          <w:rFonts w:ascii="Arial" w:hAnsi="Arial"/>
          <w:color w:val="5e6b67"/>
          <w:sz w:val="19"/>
          <w:szCs w:val="19"/>
          <w:u w:color="5e6b67"/>
          <w:rtl w:val="0"/>
        </w:rPr>
        <w:t>02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5e6b67"/>
          <w:sz w:val="19"/>
          <w:szCs w:val="19"/>
          <w:u w:color="5e6b67"/>
          <w:rtl w:val="0"/>
          <w:lang w:val="en-US"/>
        </w:rPr>
        <w:t>、</w:t>
      </w:r>
      <w:r>
        <w:rPr>
          <w:rFonts w:ascii="Arial" w:hAnsi="Arial"/>
          <w:color w:val="5e6b67"/>
          <w:sz w:val="19"/>
          <w:szCs w:val="19"/>
          <w:u w:color="5e6b67"/>
          <w:rtl w:val="0"/>
        </w:rPr>
        <w:t>03</w:t>
      </w:r>
      <w:r>
        <w:rPr>
          <w:rFonts w:ascii="Arial" w:hAnsi="Arial" w:hint="default"/>
          <w:color w:val="5e6b67"/>
          <w:sz w:val="19"/>
          <w:szCs w:val="19"/>
          <w:u w:color="5e6b67"/>
          <w:rtl w:val="0"/>
          <w:lang w:val="en-US"/>
        </w:rPr>
        <w:t xml:space="preserve">…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5e6b67"/>
          <w:sz w:val="19"/>
          <w:szCs w:val="19"/>
          <w:u w:color="5e6b67"/>
          <w:rtl w:val="0"/>
          <w:lang w:val="en-US"/>
        </w:rPr>
        <w:t>连续编号。</w:t>
      </w:r>
    </w:p>
    <w:sectPr>
      <w:headerReference w:type="default" r:id="rId4"/>
      <w:footerReference w:type="default" r:id="rId5"/>
      <w:pgSz w:w="12240" w:h="15840" w:orient="portrait"/>
      <w:pgMar w:top="936" w:right="1008" w:bottom="864" w:left="1008" w:header="720" w:footer="72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mbria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footer"/>
      <w:spacing w:after="80" w:line="288" w:lineRule="auto"/>
      <w:jc w:val="center"/>
    </w:pPr>
    <w:r>
      <w:rPr>
        <w:noProof/>
        <w:rFonts w:ascii="Arial" w:hAnsi="Arial"/>
        <w:color w:val="5e6b67"/>
        <w:sz w:val="17"/>
        <w:szCs w:val="17"/>
        <w:u w:color="5e6b67"/>
        <w:rtl w:val="0"/>
        <w:lang w:val="en-US"/>
      </w:rPr>
      <w:t xml:space="preserve">LEGAVIK </w:t>
    </w:r>
    <w:r>
      <w:rPr>
        <w:rFonts w:ascii="Arial" w:hAnsi="Arial" w:hint="default"/>
        <w:color w:val="5e6b67"/>
        <w:sz w:val="17"/>
        <w:szCs w:val="17"/>
        <w:u w:color="5e6b67"/>
        <w:rtl w:val="0"/>
        <w:lang w:val="en-US"/>
      </w:rPr>
      <w:t xml:space="preserve">· </w:t>
    </w:r>
    <w:r>
      <w:rPr>
        <w:rFonts w:ascii="Arial" w:hAnsi="Arial"/>
        <w:color w:val="5e6b67"/>
        <w:sz w:val="17"/>
        <w:szCs w:val="17"/>
        <w:u w:color="5e6b67"/>
        <w:rtl w:val="0"/>
        <w:lang w:val="en-US"/>
      </w:rPr>
      <w:t>Recovery Map</w:t>
    </w:r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页眉与页脚"/>
      <w:bidi w:val="0"/>
      <w:spacing w:after="0"/>
      <w:jc w:val="left"/>
    </w:pPr>
    <w:r/>
    <w:r>
      <w:drawing>
        <wp:inline xmlns:a="http://schemas.openxmlformats.org/drawingml/2006/main" xmlns:pic="http://schemas.openxmlformats.org/drawingml/2006/picture">
          <wp:extent cx="1234440" cy="41148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egavik-brand-master-v1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34440" cy="411480"/>
                  </a:xfrm>
                  <a:prstGeom prst="rect"/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中文" w:val="‘“(〔[{〈《「『【⦅〘〖«〝︵︷︹︻︽︿﹁﹃﹇﹙﹛﹝｢"/>
  <w:noLineBreaksBefore w:lang="中文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页眉与页脚">
    <w:name w:val="页眉与页脚"/>
    <w:next w:val="页眉与页脚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vertAlign w:val="baseline"/>
    </w:rPr>
  </w:style>
  <w:style w:type="paragraph" w:styleId="footer">
    <w:name w:val="footer"/>
    <w:next w:val="footer"/>
    <w:pPr>
      <w:keepNext w:val="0"/>
      <w:keepLines w:val="0"/>
      <w:pageBreakBefore w:val="0"/>
      <w:widowControl w:val="1"/>
      <w:shd w:val="clear" w:color="auto" w:fill="auto"/>
      <w:tabs>
        <w:tab w:val="center" w:pos="4680"/>
        <w:tab w:val="right" w:pos="936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Cambria" w:cs="Cambria" w:hAnsi="Cambria" w:eastAsia="Cambria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vertAlign w:val="baseline"/>
      <w:lang w:val="en-US"/>
    </w:rPr>
  </w:style>
  <w:style w:type="paragraph" w:styleId="正文">
    <w:name w:val="正文"/>
    <w:next w:val="正文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76" w:lineRule="auto"/>
      <w:ind w:left="0" w:right="0" w:firstLine="0"/>
      <w:jc w:val="left"/>
      <w:outlineLvl w:val="9"/>
    </w:pPr>
    <w:rPr>
      <w:rFonts w:ascii="Cambria" w:cs="Cambria" w:hAnsi="Cambria" w:eastAsia="Cambria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vertAlign w:val="baseline"/>
      <w:lang w:val="nl-NL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0000" dir="540000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0000" dir="540000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LEGAVIK Module2 恢复所需条件与资料 Canonical V2</dc:title>
  <dc:subject>Digital Asset Recovery Infrastructure</dc:subject>
  <dc:creator>LEGAVIK</dc:creator>
  <cp:lastModifiedBy>LEGAVIK</cp:lastModifiedBy>
  <cp:keywords>LEGAVIK, Digital Asset Recovery &amp; Legacy, Recovery Map</cp:keywords>
</cp:coreProperties>
</file>