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正文 A"/>
        <w:spacing w:after="120" w:line="288" w:lineRule="auto"/>
      </w:pPr>
      <w:r>
        <w:rPr>
          <w:noProof/>
          <w:color w:val="5e6b67"/>
          <w:sz w:val="19"/>
          <w:szCs w:val="19"/>
          <w:u w:color="6f7b76"/>
          <w:rtl w:val="0"/>
          <w:lang w:val="en-US"/>
        </w:rPr>
        <w:t xml:space="preserve">LEGAVIK </w:t>
      </w:r>
      <w:r>
        <w:rPr>
          <w:color w:val="5e6b67"/>
          <w:sz w:val="19"/>
          <w:szCs w:val="19"/>
          <w:u w:color="6f7b76"/>
          <w:rtl w:val="0"/>
          <w:lang w:val="en-US"/>
        </w:rPr>
        <w:t xml:space="preserve">· </w:t>
      </w:r>
      <w:r>
        <w:rPr>
          <w:color w:val="5e6b67"/>
          <w:sz w:val="19"/>
          <w:szCs w:val="19"/>
          <w:u w:color="6f7b76"/>
          <w:rtl w:val="0"/>
          <w:lang w:val="en-US"/>
        </w:rPr>
        <w:t>Recovery Map</w:t>
      </w:r>
    </w:p>
    <w:p>
      <w:pPr>
        <w:pStyle w:val="正文 A"/>
        <w:spacing w:after="160" w:line="252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44"/>
          <w:szCs w:val="44"/>
          <w:u w:color="147a56"/>
          <w:rtl w:val="0"/>
          <w:lang w:val="en-US"/>
        </w:rPr>
        <w:t>模块</w:t>
      </w:r>
      <w:r>
        <w:rPr>
          <w:b w:val="1"/>
          <w:bCs w:val="1"/>
          <w:color w:val="0b6b4f"/>
          <w:sz w:val="44"/>
          <w:szCs w:val="44"/>
          <w:u w:color="147a56"/>
          <w:rtl w:val="0"/>
          <w:lang w:val="en-US"/>
        </w:rPr>
        <w:t xml:space="preserve"> </w:t>
      </w:r>
      <w:r>
        <w:rPr>
          <w:b w:val="1"/>
          <w:bCs w:val="1"/>
          <w:color w:val="0b6b4f"/>
          <w:sz w:val="44"/>
          <w:szCs w:val="44"/>
          <w:u w:color="147a56"/>
          <w:rtl w:val="0"/>
          <w:lang w:val="en-US"/>
        </w:rPr>
        <w:t>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44"/>
          <w:szCs w:val="44"/>
          <w:u w:color="147a56"/>
          <w:rtl w:val="0"/>
          <w:lang w:val="en-US"/>
        </w:rPr>
        <w:t>｜恢复与转移步骤｜单一平台恢复步骤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2396" w:hRule="atLeast"/>
        </w:trPr>
        <w:tc>
          <w:tcPr>
            <w:tcW w:type="dxa" w:w="10570"/>
            <w:tcBorders>
              <w:top w:val="single" w:color="ddebe4" w:sz="5" w:space="0" w:shadow="0" w:frame="0"/>
              <w:left w:val="single" w:color="ddebe4" w:sz="5" w:space="0" w:shadow="0" w:frame="0"/>
              <w:bottom w:val="single" w:color="ddebe4" w:sz="5" w:space="0" w:shadow="0" w:frame="0"/>
              <w:right w:val="single" w:color="ddebe4" w:sz="5" w:space="0" w:shadow="0" w:frame="0"/>
            </w:tcBorders>
            <w:shd w:val="clear" w:color="auto" w:fill="eaf4e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  <w:spacing w:after="40" w:line="276" w:lineRule="auto"/>
              <w:rPr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填写说明</w:t>
            </w:r>
          </w:p>
          <w:p>
            <w:pPr>
              <w:pStyle w:val="正文"/>
              <w:bidi w:val="0"/>
              <w:spacing w:after="40" w:line="276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2382f"/>
                <w:sz w:val="19"/>
                <w:szCs w:val="19"/>
                <w:u w:color="12382f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同一账户在</w:t>
            </w:r>
            <w:r>
              <w:rPr>
                <w:rFonts w:ascii="Arial" w:hAnsi="Arial" w:hint="default"/>
                <w:color w:val="12382f"/>
                <w:sz w:val="19"/>
                <w:szCs w:val="19"/>
                <w:u w:color="12382f"/>
                <w:rtl w:val="0"/>
                <w:lang w:val="en-US"/>
              </w:rPr>
              <w:t>“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TW" w:eastAsia="zh-TW"/>
              </w:rPr>
              <w:t>原有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备用设备仍可用</w:t>
            </w:r>
            <w:r>
              <w:rPr>
                <w:rFonts w:ascii="Arial" w:hAnsi="Arial" w:hint="default"/>
                <w:color w:val="12382f"/>
                <w:sz w:val="19"/>
                <w:szCs w:val="19"/>
                <w:u w:color="12382f"/>
                <w:rtl w:val="0"/>
                <w:lang w:val="en-US"/>
              </w:rPr>
              <w:t>”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ja-JP" w:eastAsia="ja-JP"/>
              </w:rPr>
              <w:t>和</w:t>
            </w:r>
            <w:r>
              <w:rPr>
                <w:rFonts w:ascii="Arial" w:hAnsi="Arial" w:hint="default"/>
                <w:color w:val="12382f"/>
                <w:sz w:val="19"/>
                <w:szCs w:val="19"/>
                <w:u w:color="12382f"/>
                <w:rtl w:val="0"/>
                <w:lang w:val="en-US"/>
              </w:rPr>
              <w:t>“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原有设备不可用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使用新设备恢复</w:t>
            </w:r>
            <w:r>
              <w:rPr>
                <w:rFonts w:ascii="Arial" w:hAnsi="Arial" w:hint="default"/>
                <w:color w:val="12382f"/>
                <w:sz w:val="19"/>
                <w:szCs w:val="19"/>
                <w:u w:color="12382f"/>
                <w:rtl w:val="0"/>
                <w:lang w:val="en-US"/>
              </w:rPr>
              <w:t>”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两种情况下，操作路径可能明显不同，建议分别记录。</w:t>
            </w:r>
          </w:p>
          <w:p>
            <w:pPr>
              <w:pStyle w:val="正文"/>
              <w:bidi w:val="0"/>
              <w:spacing w:after="40" w:line="276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2382f"/>
                <w:sz w:val="19"/>
                <w:szCs w:val="19"/>
                <w:u w:color="12382f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建议先确认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  <w:lang w:val="en-US"/>
              </w:rPr>
              <w:t xml:space="preserve">Module 2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所需恢复条件已经准备、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  <w:lang w:val="en-US"/>
              </w:rPr>
              <w:t xml:space="preserve">Module 3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关键材料与设备已经找到，再填写本模块。步骤应以真实账户、官方流程或实际演练结果为准。</w:t>
            </w:r>
          </w:p>
          <w:p>
            <w:pPr>
              <w:pStyle w:val="正文"/>
              <w:bidi w:val="0"/>
              <w:spacing w:after="40" w:line="276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2382f"/>
                <w:sz w:val="19"/>
                <w:szCs w:val="19"/>
                <w:u w:color="12382f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TW" w:eastAsia="zh-TW"/>
              </w:rPr>
              <w:t>涉及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  <w:lang w:val="en-US"/>
              </w:rPr>
              <w:t>Seed Phrase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（助记词）或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  <w:lang w:val="en-US"/>
              </w:rPr>
              <w:t>Private Key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（私钥）时，只记录操作方式和顺序，不要在本文件中填写完整内容。</w:t>
            </w:r>
          </w:p>
        </w:tc>
      </w:tr>
    </w:tbl>
    <w:p>
      <w:pPr>
        <w:pStyle w:val="正文 A"/>
        <w:widowControl w:val="0"/>
        <w:spacing w:after="160" w:line="240" w:lineRule="auto"/>
        <w:ind w:left="108" w:hanging="108"/>
        <w:jc w:val="center"/>
      </w:pPr>
    </w:p>
    <w:p>
      <w:pPr>
        <w:pStyle w:val="正文"/>
        <w:spacing w:before="240" w:after="120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6"/>
          <w:szCs w:val="26"/>
          <w:u w:color="0b6b4f"/>
          <w:rtl w:val="0"/>
          <w:lang w:val="zh-CN" w:eastAsia="zh-CN"/>
        </w:rPr>
        <w:t>账户类型与平台名称</w:t>
      </w:r>
    </w:p>
    <w:tbl>
      <w:tblPr>
        <w:tblW w:w="10368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184"/>
        <w:gridCol w:w="5184"/>
      </w:tblGrid>
      <w:tr>
        <w:tblPrEx>
          <w:shd w:val="clear" w:color="auto" w:fill="ced7e7"/>
        </w:tblPrEx>
        <w:trPr>
          <w:trHeight w:val="290" w:hRule="atLeast"/>
        </w:trPr>
        <w:tc>
          <w:tcPr>
            <w:tcW w:type="dxa" w:w="5184"/>
            <w:tcBorders>
              <w:top w:val="nil"/>
              <w:left w:val="nil"/>
              <w:bottom w:val="nil"/>
              <w:right w:val="nil"/>
            </w:tcBorders>
            <w:shd w:val="clear" w:color="auto" w:fill="f3f6f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spacing w:line="288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0"/>
                <w:szCs w:val="20"/>
                <w:u w:color="12382f"/>
                <w:rtl w:val="0"/>
                <w:lang w:val="zh-CN" w:eastAsia="zh-CN"/>
              </w:rPr>
              <w:t>账户类型</w:t>
            </w:r>
          </w:p>
        </w:tc>
        <w:tc>
          <w:tcPr>
            <w:tcW w:type="dxa" w:w="518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290" w:hRule="atLeast"/>
        </w:trPr>
        <w:tc>
          <w:tcPr>
            <w:tcW w:type="dxa" w:w="5184"/>
            <w:tcBorders>
              <w:top w:val="nil"/>
              <w:left w:val="nil"/>
              <w:bottom w:val="nil"/>
              <w:right w:val="nil"/>
            </w:tcBorders>
            <w:shd w:val="clear" w:color="auto" w:fill="f3f6f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spacing w:line="288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0"/>
                <w:szCs w:val="20"/>
                <w:u w:color="12382f"/>
                <w:rtl w:val="0"/>
                <w:lang w:val="zh-TW" w:eastAsia="zh-TW"/>
              </w:rPr>
              <w:t>平台</w:t>
            </w:r>
            <w:r>
              <w:rPr>
                <w:rFonts w:ascii="Arial" w:hAnsi="Arial"/>
                <w:b w:val="1"/>
                <w:bCs w:val="1"/>
                <w:color w:val="12382f"/>
                <w:sz w:val="20"/>
                <w:szCs w:val="20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b w:val="1"/>
                <w:bCs w:val="1"/>
                <w:color w:val="12382f"/>
                <w:sz w:val="20"/>
                <w:szCs w:val="20"/>
                <w:u w:color="12382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0"/>
                <w:szCs w:val="20"/>
                <w:u w:color="12382f"/>
                <w:rtl w:val="0"/>
                <w:lang w:val="zh-CN" w:eastAsia="zh-CN"/>
              </w:rPr>
              <w:t>钱包名称</w:t>
            </w:r>
          </w:p>
        </w:tc>
        <w:tc>
          <w:tcPr>
            <w:tcW w:type="dxa" w:w="518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正文"/>
        <w:widowControl w:val="0"/>
        <w:spacing w:before="240" w:after="120"/>
        <w:jc w:val="center"/>
      </w:pPr>
    </w:p>
    <w:p>
      <w:pPr>
        <w:pStyle w:val="正文 A"/>
        <w:widowControl w:val="0"/>
        <w:spacing w:after="140" w:line="240" w:lineRule="auto"/>
        <w:jc w:val="center"/>
      </w:pPr>
    </w:p>
    <w:p>
      <w:pPr>
        <w:pStyle w:val="正文 A"/>
        <w:spacing w:before="100" w:after="60"/>
      </w:pPr>
      <w:r>
        <w:rPr>
          <w:rFonts w:eastAsia="PingFang SC Semibold" w:hint="eastAsia"/>
          <w:color w:val="147a56"/>
          <w:sz w:val="24"/>
          <w:szCs w:val="24"/>
          <w:u w:color="147a56"/>
          <w:rtl w:val="0"/>
          <w:lang w:val="en-US"/>
        </w:rPr>
        <w:t>不同账户类型的填写重点</w:t>
      </w:r>
    </w:p>
    <w:tbl>
      <w:tblPr>
        <w:tblW w:w="1015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232"/>
        <w:gridCol w:w="3096"/>
        <w:gridCol w:w="4824"/>
      </w:tblGrid>
      <w:tr>
        <w:tblPrEx>
          <w:shd w:val="clear" w:color="auto" w:fill="ced7e7"/>
        </w:tblPrEx>
        <w:trPr>
          <w:trHeight w:val="313" w:hRule="atLeast"/>
        </w:trPr>
        <w:tc>
          <w:tcPr>
            <w:tcW w:type="dxa" w:w="223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类型</w:t>
            </w:r>
          </w:p>
        </w:tc>
        <w:tc>
          <w:tcPr>
            <w:tcW w:type="dxa" w:w="309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适用对象</w:t>
            </w:r>
          </w:p>
        </w:tc>
        <w:tc>
          <w:tcPr>
            <w:tcW w:type="dxa" w:w="4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填写重点</w:t>
            </w:r>
          </w:p>
        </w:tc>
      </w:tr>
      <w:tr>
        <w:tblPrEx>
          <w:shd w:val="clear" w:color="auto" w:fill="ced7e7"/>
        </w:tblPrEx>
        <w:trPr>
          <w:trHeight w:val="466" w:hRule="atLeast"/>
        </w:trPr>
        <w:tc>
          <w:tcPr>
            <w:tcW w:type="dxa" w:w="223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A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｜中心化交易所</w:t>
            </w:r>
          </w:p>
        </w:tc>
        <w:tc>
          <w:tcPr>
            <w:tcW w:type="dxa" w:w="30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Binance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TW" w:eastAsia="zh-TW"/>
              </w:rPr>
              <w:t>、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OKX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TW" w:eastAsia="zh-TW"/>
              </w:rPr>
              <w:t>、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Coinbase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</w:rPr>
              <w:t>等</w:t>
            </w:r>
          </w:p>
        </w:tc>
        <w:tc>
          <w:tcPr>
            <w:tcW w:type="dxa" w:w="4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登录验证、账户恢复、身份核验、安全检查及必要转移</w:t>
            </w:r>
          </w:p>
        </w:tc>
      </w:tr>
      <w:tr>
        <w:tblPrEx>
          <w:shd w:val="clear" w:color="auto" w:fill="ced7e7"/>
        </w:tblPrEx>
        <w:trPr>
          <w:trHeight w:val="466" w:hRule="atLeast"/>
        </w:trPr>
        <w:tc>
          <w:tcPr>
            <w:tcW w:type="dxa" w:w="223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B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</w:rPr>
              <w:t>｜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DEX / DeFi</w:t>
            </w:r>
          </w:p>
        </w:tc>
        <w:tc>
          <w:tcPr>
            <w:tcW w:type="dxa" w:w="30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Uniswap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TW" w:eastAsia="zh-TW"/>
              </w:rPr>
              <w:t>、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Aave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</w:rPr>
              <w:t>等</w:t>
            </w:r>
          </w:p>
        </w:tc>
        <w:tc>
          <w:tcPr>
            <w:tcW w:type="dxa" w:w="4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先恢复关联钱包，再连接协议并核对仓位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授权</w:t>
            </w:r>
          </w:p>
        </w:tc>
      </w:tr>
      <w:tr>
        <w:tblPrEx>
          <w:shd w:val="clear" w:color="auto" w:fill="ced7e7"/>
        </w:tblPrEx>
        <w:trPr>
          <w:trHeight w:val="466" w:hRule="atLeast"/>
        </w:trPr>
        <w:tc>
          <w:tcPr>
            <w:tcW w:type="dxa" w:w="223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C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｜自托管钱包</w:t>
            </w:r>
          </w:p>
        </w:tc>
        <w:tc>
          <w:tcPr>
            <w:tcW w:type="dxa" w:w="30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热钱包、冷钱包</w:t>
            </w:r>
          </w:p>
        </w:tc>
        <w:tc>
          <w:tcPr>
            <w:tcW w:type="dxa" w:w="4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原设备解锁或新设备恢复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导入、核对地址与资产</w:t>
            </w:r>
          </w:p>
        </w:tc>
      </w:tr>
      <w:tr>
        <w:tblPrEx>
          <w:shd w:val="clear" w:color="auto" w:fill="ced7e7"/>
        </w:tblPrEx>
        <w:trPr>
          <w:trHeight w:val="580" w:hRule="atLeast"/>
        </w:trPr>
        <w:tc>
          <w:tcPr>
            <w:tcW w:type="dxa" w:w="223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D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｜多签钱包</w:t>
            </w:r>
          </w:p>
        </w:tc>
        <w:tc>
          <w:tcPr>
            <w:tcW w:type="dxa" w:w="30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Safe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</w:rPr>
              <w:t>等</w:t>
            </w:r>
          </w:p>
        </w:tc>
        <w:tc>
          <w:tcPr>
            <w:tcW w:type="dxa" w:w="4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恢复达到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Threshold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数量的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Signer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，再完成提案、签名与执行</w:t>
            </w:r>
          </w:p>
        </w:tc>
      </w:tr>
    </w:tbl>
    <w:p>
      <w:pPr>
        <w:pStyle w:val="正文 A"/>
        <w:widowControl w:val="0"/>
        <w:spacing w:before="100" w:after="60" w:line="240" w:lineRule="auto"/>
        <w:ind w:left="108" w:hanging="108"/>
        <w:jc w:val="center"/>
      </w:pPr>
    </w:p>
    <w:p>
      <w:pPr>
        <w:pStyle w:val="正文 A"/>
        <w:widowControl w:val="0"/>
        <w:spacing w:before="100" w:after="60" w:line="240" w:lineRule="auto"/>
        <w:jc w:val="center"/>
      </w:pPr>
    </w:p>
    <w:p>
      <w:pPr>
        <w:pStyle w:val="正文 A"/>
        <w:spacing w:after="40"/>
      </w:pPr>
      <w:r>
        <w:rPr>
          <w:noProof/>
          <w:color w:val="5e6b67"/>
          <w:sz w:val="18"/>
          <w:szCs w:val="18"/>
          <w:u w:color="6f7b76"/>
          <w:rtl w:val="0"/>
          <w:lang w:val="en-US"/>
        </w:rPr>
        <w:t xml:space="preserve">LEGAVIK </w:t>
      </w:r>
      <w:r>
        <w:rPr>
          <w:color w:val="5e6b67"/>
          <w:sz w:val="18"/>
          <w:szCs w:val="18"/>
          <w:u w:color="6f7b76"/>
          <w:rtl w:val="0"/>
          <w:lang w:val="en-US"/>
        </w:rPr>
        <w:t xml:space="preserve">· </w:t>
      </w:r>
      <w:r>
        <w:rPr>
          <w:color w:val="5e6b67"/>
          <w:sz w:val="18"/>
          <w:szCs w:val="18"/>
          <w:u w:color="6f7b76"/>
          <w:rtl w:val="0"/>
          <w:lang w:val="en-US"/>
        </w:rPr>
        <w:t>Recovery Map</w:t>
      </w:r>
    </w:p>
    <w:p>
      <w:pPr>
        <w:pStyle w:val="正文 A"/>
        <w:spacing w:after="60"/>
      </w:pPr>
      <w:r>
        <w:rPr>
          <w:b w:val="1"/>
          <w:bCs w:val="1"/>
          <w:color w:val="147a56"/>
          <w:sz w:val="42"/>
          <w:szCs w:val="42"/>
          <w:u w:color="147a56"/>
          <w:rtl w:val="0"/>
          <w:lang w:val="en-US"/>
        </w:rPr>
        <w:t>A</w:t>
      </w:r>
      <w:r>
        <w:rPr>
          <w:rFonts w:eastAsia="PingFang SC Semibold" w:hint="eastAsia"/>
          <w:color w:val="147a56"/>
          <w:sz w:val="42"/>
          <w:szCs w:val="42"/>
          <w:u w:color="147a56"/>
          <w:rtl w:val="0"/>
          <w:lang w:val="en-US"/>
        </w:rPr>
        <w:t>｜中心化交易所</w:t>
      </w:r>
    </w:p>
    <w:p>
      <w:pPr>
        <w:pStyle w:val="正文 A"/>
        <w:spacing w:after="140"/>
      </w:pPr>
      <w:r>
        <w:rPr>
          <w:rFonts w:eastAsia="PingFang SC Regular" w:hint="eastAsia"/>
          <w:color w:val="6f7b76"/>
          <w:sz w:val="21"/>
          <w:szCs w:val="21"/>
          <w:u w:color="6f7b76"/>
          <w:rtl w:val="0"/>
          <w:lang w:val="en-US"/>
        </w:rPr>
        <w:t>仅当当前账户属于托管型中心化交易所时填写。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42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ja-JP" w:eastAsia="ja-JP"/>
              </w:rPr>
              <w:t>交易所名称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2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账户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/ UID / Username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2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交易所注册邮箱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2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交易所注册手机号（如使用）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after="140" w:line="240" w:lineRule="auto"/>
        <w:ind w:left="108" w:hanging="108"/>
        <w:jc w:val="center"/>
      </w:pPr>
    </w:p>
    <w:p>
      <w:pPr>
        <w:pStyle w:val="正文 A"/>
        <w:widowControl w:val="0"/>
        <w:spacing w:after="140" w:line="240" w:lineRule="auto"/>
        <w:jc w:val="center"/>
      </w:pPr>
    </w:p>
    <w:p>
      <w:pPr>
        <w:pStyle w:val="正文 A"/>
        <w:spacing w:before="100" w:after="60"/>
      </w:pP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开始前确认</w:t>
      </w:r>
    </w:p>
    <w:p>
      <w:pPr>
        <w:pStyle w:val="正文"/>
        <w:spacing w:after="100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18"/>
          <w:szCs w:val="18"/>
          <w:u w:color="5e6b67"/>
          <w:rtl w:val="0"/>
          <w:lang w:val="zh-CN" w:eastAsia="zh-CN"/>
        </w:rPr>
        <w:t>已确认恢复条件由系统按</w:t>
      </w:r>
      <w:r>
        <w:rPr>
          <w:rFonts w:ascii="Arial" w:hAnsi="Arial"/>
          <w:color w:val="5e6b67"/>
          <w:sz w:val="18"/>
          <w:szCs w:val="18"/>
          <w:u w:color="5e6b67"/>
          <w:rtl w:val="0"/>
        </w:rPr>
        <w:t xml:space="preserve"> </w:t>
      </w:r>
      <w:r>
        <w:rPr>
          <w:rFonts w:ascii="Arial" w:hAnsi="Arial"/>
          <w:color w:val="5e6b67"/>
          <w:sz w:val="18"/>
          <w:szCs w:val="18"/>
          <w:u w:color="5e6b67"/>
          <w:rtl w:val="0"/>
        </w:rPr>
        <w:t>01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18"/>
          <w:szCs w:val="18"/>
          <w:u w:color="5e6b67"/>
          <w:rtl w:val="0"/>
          <w:lang w:val="zh-TW" w:eastAsia="zh-TW"/>
        </w:rPr>
        <w:t>、</w:t>
      </w:r>
      <w:r>
        <w:rPr>
          <w:rFonts w:ascii="Arial" w:hAnsi="Arial"/>
          <w:color w:val="5e6b67"/>
          <w:sz w:val="18"/>
          <w:szCs w:val="18"/>
          <w:u w:color="5e6b67"/>
          <w:rtl w:val="0"/>
        </w:rPr>
        <w:t>02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18"/>
          <w:szCs w:val="18"/>
          <w:u w:color="5e6b67"/>
          <w:rtl w:val="0"/>
          <w:lang w:val="zh-TW" w:eastAsia="zh-TW"/>
        </w:rPr>
        <w:t>、</w:t>
      </w:r>
      <w:r>
        <w:rPr>
          <w:rFonts w:ascii="Arial" w:hAnsi="Arial"/>
          <w:color w:val="5e6b67"/>
          <w:sz w:val="18"/>
          <w:szCs w:val="18"/>
          <w:u w:color="5e6b67"/>
          <w:rtl w:val="0"/>
        </w:rPr>
        <w:t>03</w:t>
      </w:r>
      <w:r>
        <w:rPr>
          <w:rFonts w:ascii="Arial" w:hAnsi="Arial" w:hint="default"/>
          <w:color w:val="5e6b67"/>
          <w:sz w:val="18"/>
          <w:szCs w:val="18"/>
          <w:u w:color="5e6b67"/>
          <w:rtl w:val="0"/>
          <w:lang w:val="en-US"/>
        </w:rPr>
        <w:t xml:space="preserve">…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18"/>
          <w:szCs w:val="18"/>
          <w:u w:color="5e6b67"/>
          <w:rtl w:val="0"/>
          <w:lang w:val="zh-CN" w:eastAsia="zh-CN"/>
        </w:rPr>
        <w:t>分行带入</w:t>
      </w:r>
      <w:r>
        <w:rPr>
          <w:rFonts w:ascii="Arial" w:hAnsi="Arial" w:hint="default"/>
          <w:color w:val="5e6b67"/>
          <w:sz w:val="18"/>
          <w:szCs w:val="18"/>
          <w:u w:color="5e6b67"/>
          <w:rtl w:val="0"/>
          <w:lang w:val="en-US"/>
        </w:rPr>
        <w:t>“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18"/>
          <w:szCs w:val="18"/>
          <w:u w:color="5e6b67"/>
          <w:rtl w:val="0"/>
          <w:lang w:val="zh-CN" w:eastAsia="zh-CN"/>
        </w:rPr>
        <w:t>确认结果</w:t>
      </w:r>
      <w:r>
        <w:rPr>
          <w:rFonts w:ascii="Arial" w:hAnsi="Arial"/>
          <w:color w:val="5e6b67"/>
          <w:sz w:val="18"/>
          <w:szCs w:val="18"/>
          <w:u w:color="5e6b67"/>
          <w:rtl w:val="0"/>
        </w:rPr>
        <w:t xml:space="preserve"> </w:t>
      </w:r>
      <w:r>
        <w:rPr>
          <w:rFonts w:ascii="Arial" w:hAnsi="Arial"/>
          <w:color w:val="5e6b67"/>
          <w:sz w:val="18"/>
          <w:szCs w:val="18"/>
          <w:u w:color="5e6b67"/>
          <w:rtl w:val="0"/>
        </w:rPr>
        <w:t xml:space="preserve">/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18"/>
          <w:szCs w:val="18"/>
          <w:u w:color="5e6b67"/>
          <w:rtl w:val="0"/>
          <w:lang w:val="zh-CN" w:eastAsia="zh-CN"/>
        </w:rPr>
        <w:t>说明</w:t>
      </w:r>
      <w:r>
        <w:rPr>
          <w:rFonts w:ascii="Arial" w:hAnsi="Arial" w:hint="default"/>
          <w:color w:val="5e6b67"/>
          <w:sz w:val="18"/>
          <w:szCs w:val="18"/>
          <w:u w:color="5e6b67"/>
          <w:rtl w:val="0"/>
          <w:lang w:val="en-US"/>
        </w:rPr>
        <w:t>”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18"/>
          <w:szCs w:val="18"/>
          <w:u w:color="5e6b67"/>
          <w:rtl w:val="0"/>
          <w:lang w:val="zh-CN" w:eastAsia="zh-CN"/>
        </w:rPr>
        <w:t>，便于逐项核对。</w:t>
      </w:r>
    </w:p>
    <w:tbl>
      <w:tblPr>
        <w:tblW w:w="1015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600"/>
        <w:gridCol w:w="6552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360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开始前确认</w:t>
            </w:r>
          </w:p>
        </w:tc>
        <w:tc>
          <w:tcPr>
            <w:tcW w:type="dxa" w:w="655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确认结果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说明</w:t>
            </w:r>
          </w:p>
        </w:tc>
      </w:tr>
      <w:tr>
        <w:tblPrEx>
          <w:shd w:val="clear" w:color="auto" w:fill="ced7e7"/>
        </w:tblPrEx>
        <w:trPr>
          <w:trHeight w:val="404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模块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2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所需恢复条件已准备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04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模块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3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关键材料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设备已找到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04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TW" w:eastAsia="zh-TW"/>
              </w:rPr>
              <w:t>正在使用交易所官方入口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04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后续接收地址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处理方案已确认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"/>
        <w:widowControl w:val="0"/>
        <w:spacing w:after="100"/>
        <w:ind w:left="108" w:hanging="108"/>
        <w:jc w:val="center"/>
      </w:pPr>
    </w:p>
    <w:p>
      <w:pPr>
        <w:pStyle w:val="正文 A"/>
        <w:widowControl w:val="0"/>
        <w:spacing w:before="100" w:after="60" w:line="240" w:lineRule="auto"/>
        <w:jc w:val="center"/>
      </w:pPr>
    </w:p>
    <w:p>
      <w:pPr>
        <w:pStyle w:val="正文 A"/>
        <w:spacing w:before="10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>A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 </w:t>
      </w: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备用设备仍可用</w:t>
      </w:r>
    </w:p>
    <w:p>
      <w:pPr>
        <w:pStyle w:val="正文 A"/>
        <w:spacing w:after="4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按真实操作顺序填写；不足</w:t>
      </w:r>
      <w:r>
        <w:rPr>
          <w:color w:val="6f7b76"/>
          <w:sz w:val="17"/>
          <w:szCs w:val="17"/>
          <w:u w:color="6f7b76"/>
          <w:rtl w:val="0"/>
          <w:lang w:val="en-US"/>
        </w:rPr>
        <w:t>8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步骤</w:t>
            </w:r>
          </w:p>
        </w:tc>
        <w:tc>
          <w:tcPr>
            <w:tcW w:type="dxa" w:w="6897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ja-JP" w:eastAsia="ja-JP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必要提示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40" w:line="240" w:lineRule="auto"/>
        <w:ind w:left="108" w:hanging="108"/>
        <w:jc w:val="center"/>
      </w:pPr>
    </w:p>
    <w:p>
      <w:pPr>
        <w:pStyle w:val="正文 A"/>
        <w:widowControl w:val="0"/>
        <w:spacing w:after="40" w:line="240" w:lineRule="auto"/>
        <w:jc w:val="center"/>
      </w:pPr>
    </w:p>
    <w:p>
      <w:pPr>
        <w:pStyle w:val="正文 A"/>
        <w:spacing w:before="10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>B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｜原有设备不可用 </w:t>
      </w: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使用新设备恢复</w:t>
      </w:r>
    </w:p>
    <w:p>
      <w:pPr>
        <w:pStyle w:val="正文 A"/>
        <w:spacing w:after="4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记录从新设备重新访问或恢复时的真实操作顺序；不足</w:t>
      </w:r>
      <w:r>
        <w:rPr>
          <w:color w:val="6f7b76"/>
          <w:sz w:val="17"/>
          <w:szCs w:val="17"/>
          <w:u w:color="6f7b76"/>
          <w:rtl w:val="0"/>
          <w:lang w:val="en-US"/>
        </w:rPr>
        <w:t>8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步骤</w:t>
            </w:r>
          </w:p>
        </w:tc>
        <w:tc>
          <w:tcPr>
            <w:tcW w:type="dxa" w:w="6897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ja-JP" w:eastAsia="ja-JP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必要提示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40" w:line="240" w:lineRule="auto"/>
        <w:ind w:left="108" w:hanging="108"/>
        <w:jc w:val="center"/>
      </w:pPr>
    </w:p>
    <w:p>
      <w:pPr>
        <w:pStyle w:val="正文 A"/>
        <w:widowControl w:val="0"/>
        <w:spacing w:after="40" w:line="240" w:lineRule="auto"/>
        <w:jc w:val="center"/>
      </w:pPr>
    </w:p>
    <w:p>
      <w:pPr>
        <w:pStyle w:val="正文 A"/>
        <w:widowControl w:val="0"/>
        <w:spacing w:after="40" w:line="240" w:lineRule="auto"/>
        <w:jc w:val="center"/>
      </w:pPr>
    </w:p>
    <w:p>
      <w:pPr>
        <w:pStyle w:val="正文 A"/>
        <w:widowControl w:val="0"/>
        <w:spacing w:after="40" w:line="240" w:lineRule="auto"/>
        <w:jc w:val="center"/>
      </w:pPr>
    </w:p>
    <w:p>
      <w:pPr>
        <w:pStyle w:val="正文 A"/>
        <w:spacing w:before="100" w:after="60"/>
      </w:pP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 xml:space="preserve">其他说明 </w:t>
      </w:r>
      <w:r>
        <w:rPr>
          <w:b w:val="1"/>
          <w:bCs w:val="1"/>
          <w:color w:val="147a56"/>
          <w:sz w:val="21"/>
          <w:szCs w:val="21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>特殊情况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490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490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00" w:after="60" w:line="240" w:lineRule="auto"/>
        <w:ind w:left="108" w:hanging="108"/>
        <w:jc w:val="center"/>
      </w:pPr>
    </w:p>
    <w:p>
      <w:pPr>
        <w:pStyle w:val="正文 A"/>
        <w:widowControl w:val="0"/>
        <w:spacing w:before="100" w:after="60" w:line="240" w:lineRule="auto"/>
        <w:jc w:val="center"/>
      </w:pPr>
    </w:p>
    <w:p>
      <w:pPr>
        <w:pStyle w:val="正文 A"/>
        <w:spacing w:after="40"/>
      </w:pPr>
      <w:r>
        <w:rPr>
          <w:noProof/>
          <w:color w:val="5e6b67"/>
          <w:sz w:val="18"/>
          <w:szCs w:val="18"/>
          <w:u w:color="6f7b76"/>
          <w:rtl w:val="0"/>
          <w:lang w:val="en-US"/>
        </w:rPr>
        <w:t xml:space="preserve">LEGAVIK </w:t>
      </w:r>
      <w:r>
        <w:rPr>
          <w:color w:val="5e6b67"/>
          <w:sz w:val="18"/>
          <w:szCs w:val="18"/>
          <w:u w:color="6f7b76"/>
          <w:rtl w:val="0"/>
          <w:lang w:val="en-US"/>
        </w:rPr>
        <w:t xml:space="preserve">· </w:t>
      </w:r>
      <w:r>
        <w:rPr>
          <w:color w:val="5e6b67"/>
          <w:sz w:val="18"/>
          <w:szCs w:val="18"/>
          <w:u w:color="6f7b76"/>
          <w:rtl w:val="0"/>
          <w:lang w:val="en-US"/>
        </w:rPr>
        <w:t>Recovery Map</w:t>
      </w:r>
    </w:p>
    <w:p>
      <w:pPr>
        <w:pStyle w:val="正文 A"/>
        <w:spacing w:after="60"/>
      </w:pPr>
      <w:r>
        <w:rPr>
          <w:b w:val="1"/>
          <w:bCs w:val="1"/>
          <w:color w:val="147a56"/>
          <w:sz w:val="42"/>
          <w:szCs w:val="42"/>
          <w:u w:color="147a56"/>
          <w:rtl w:val="0"/>
          <w:lang w:val="en-US"/>
        </w:rPr>
        <w:t>B</w:t>
      </w:r>
      <w:r>
        <w:rPr>
          <w:rFonts w:eastAsia="PingFang SC Semibold" w:hint="eastAsia"/>
          <w:color w:val="147a56"/>
          <w:sz w:val="42"/>
          <w:szCs w:val="42"/>
          <w:u w:color="147a56"/>
          <w:rtl w:val="0"/>
          <w:lang w:val="en-US"/>
        </w:rPr>
        <w:t>｜</w:t>
      </w:r>
      <w:r>
        <w:rPr>
          <w:b w:val="1"/>
          <w:bCs w:val="1"/>
          <w:color w:val="147a56"/>
          <w:sz w:val="42"/>
          <w:szCs w:val="42"/>
          <w:u w:color="147a56"/>
          <w:rtl w:val="0"/>
          <w:lang w:val="da-DK"/>
        </w:rPr>
        <w:t>DEX / DeFi</w:t>
      </w:r>
    </w:p>
    <w:p>
      <w:pPr>
        <w:pStyle w:val="正文 A"/>
        <w:spacing w:after="140"/>
      </w:pPr>
      <w:r>
        <w:rPr>
          <w:rFonts w:eastAsia="PingFang SC Regular" w:hint="eastAsia"/>
          <w:color w:val="6f7b76"/>
          <w:sz w:val="21"/>
          <w:szCs w:val="21"/>
          <w:u w:color="6f7b76"/>
          <w:rtl w:val="0"/>
          <w:lang w:val="en-US"/>
        </w:rPr>
        <w:t>仅当当前账户属于通过钱包连接的</w:t>
      </w:r>
      <w:r>
        <w:rPr>
          <w:color w:val="6f7b76"/>
          <w:sz w:val="21"/>
          <w:szCs w:val="21"/>
          <w:u w:color="6f7b76"/>
          <w:rtl w:val="0"/>
          <w:lang w:val="da-DK"/>
        </w:rPr>
        <w:t>DEX / DeFi</w:t>
      </w:r>
      <w:r>
        <w:rPr>
          <w:rFonts w:eastAsia="PingFang SC Regular" w:hint="eastAsia"/>
          <w:color w:val="6f7b76"/>
          <w:sz w:val="21"/>
          <w:szCs w:val="21"/>
          <w:u w:color="6f7b76"/>
          <w:rtl w:val="0"/>
          <w:lang w:val="en-US"/>
        </w:rPr>
        <w:t>协议时填写。核心是先恢复关联钱包，再重新连接协议。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42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协议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ja-JP" w:eastAsia="ja-JP"/>
              </w:rPr>
              <w:t>平台名称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2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关联钱包名称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after="140" w:line="240" w:lineRule="auto"/>
        <w:ind w:left="108" w:hanging="108"/>
        <w:jc w:val="center"/>
      </w:pPr>
    </w:p>
    <w:p>
      <w:pPr>
        <w:pStyle w:val="正文 A"/>
        <w:widowControl w:val="0"/>
        <w:spacing w:after="140" w:line="240" w:lineRule="auto"/>
        <w:jc w:val="center"/>
      </w:pPr>
    </w:p>
    <w:p>
      <w:pPr>
        <w:pStyle w:val="正文 A"/>
        <w:spacing w:before="100" w:after="60"/>
      </w:pP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开始前确认</w:t>
      </w:r>
    </w:p>
    <w:tbl>
      <w:tblPr>
        <w:tblW w:w="1015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600"/>
        <w:gridCol w:w="6552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360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开始前确认</w:t>
            </w:r>
          </w:p>
        </w:tc>
        <w:tc>
          <w:tcPr>
            <w:tcW w:type="dxa" w:w="655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确认结果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说明</w:t>
            </w:r>
          </w:p>
        </w:tc>
      </w:tr>
      <w:tr>
        <w:tblPrEx>
          <w:shd w:val="clear" w:color="auto" w:fill="ced7e7"/>
        </w:tblPrEx>
        <w:trPr>
          <w:trHeight w:val="404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关联钱包恢复条件已准备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04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关联钱包关键材料已找到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04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协议官方入口已确认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04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后续资产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仓位处理方案已确认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before="100" w:after="60" w:line="240" w:lineRule="auto"/>
        <w:ind w:left="108" w:hanging="108"/>
        <w:jc w:val="center"/>
      </w:pPr>
    </w:p>
    <w:p>
      <w:pPr>
        <w:pStyle w:val="正文 A"/>
        <w:widowControl w:val="0"/>
        <w:spacing w:before="100" w:after="60" w:line="240" w:lineRule="auto"/>
        <w:jc w:val="center"/>
      </w:pPr>
    </w:p>
    <w:p>
      <w:pPr>
        <w:pStyle w:val="正文 A"/>
        <w:spacing w:before="10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>A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 </w:t>
      </w: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备用设备仍可用</w:t>
      </w:r>
    </w:p>
    <w:p>
      <w:pPr>
        <w:pStyle w:val="正文 A"/>
        <w:spacing w:after="4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按真实操作顺序填写；不足</w:t>
      </w:r>
      <w:r>
        <w:rPr>
          <w:color w:val="6f7b76"/>
          <w:sz w:val="17"/>
          <w:szCs w:val="17"/>
          <w:u w:color="6f7b76"/>
          <w:rtl w:val="0"/>
          <w:lang w:val="en-US"/>
        </w:rPr>
        <w:t>8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步骤</w:t>
            </w:r>
          </w:p>
        </w:tc>
        <w:tc>
          <w:tcPr>
            <w:tcW w:type="dxa" w:w="6897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ja-JP" w:eastAsia="ja-JP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必要提示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40" w:line="240" w:lineRule="auto"/>
        <w:ind w:left="108" w:hanging="108"/>
        <w:jc w:val="center"/>
      </w:pPr>
    </w:p>
    <w:p>
      <w:pPr>
        <w:pStyle w:val="正文 A"/>
        <w:widowControl w:val="0"/>
        <w:spacing w:after="40" w:line="240" w:lineRule="auto"/>
        <w:jc w:val="center"/>
      </w:pPr>
    </w:p>
    <w:p>
      <w:pPr>
        <w:pStyle w:val="正文 A"/>
        <w:spacing w:before="10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>B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｜原有设备不可用 </w:t>
      </w: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使用新设备恢复</w:t>
      </w:r>
    </w:p>
    <w:p>
      <w:pPr>
        <w:pStyle w:val="正文 A"/>
        <w:spacing w:after="4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记录从新设备重新访问或恢复时的真实操作顺序；不足</w:t>
      </w:r>
      <w:r>
        <w:rPr>
          <w:color w:val="6f7b76"/>
          <w:sz w:val="17"/>
          <w:szCs w:val="17"/>
          <w:u w:color="6f7b76"/>
          <w:rtl w:val="0"/>
          <w:lang w:val="en-US"/>
        </w:rPr>
        <w:t>8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步骤</w:t>
            </w:r>
          </w:p>
        </w:tc>
        <w:tc>
          <w:tcPr>
            <w:tcW w:type="dxa" w:w="6897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ja-JP" w:eastAsia="ja-JP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必要提示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40" w:line="240" w:lineRule="auto"/>
        <w:ind w:left="108" w:hanging="108"/>
        <w:jc w:val="center"/>
      </w:pPr>
    </w:p>
    <w:p>
      <w:pPr>
        <w:pStyle w:val="正文 A"/>
        <w:widowControl w:val="0"/>
        <w:spacing w:after="40" w:line="240" w:lineRule="auto"/>
        <w:jc w:val="center"/>
      </w:pPr>
    </w:p>
    <w:p>
      <w:pPr>
        <w:pStyle w:val="正文 A"/>
        <w:widowControl w:val="0"/>
        <w:spacing w:after="40" w:line="240" w:lineRule="auto"/>
        <w:jc w:val="center"/>
      </w:pPr>
    </w:p>
    <w:p>
      <w:pPr>
        <w:pStyle w:val="正文 A"/>
        <w:widowControl w:val="0"/>
        <w:spacing w:after="40" w:line="240" w:lineRule="auto"/>
        <w:jc w:val="center"/>
      </w:pPr>
    </w:p>
    <w:p>
      <w:pPr>
        <w:pStyle w:val="正文 A"/>
        <w:spacing w:before="100" w:after="60"/>
      </w:pP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 xml:space="preserve">其他说明 </w:t>
      </w:r>
      <w:r>
        <w:rPr>
          <w:b w:val="1"/>
          <w:bCs w:val="1"/>
          <w:color w:val="147a56"/>
          <w:sz w:val="21"/>
          <w:szCs w:val="21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>特殊情况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490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490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00" w:after="60" w:line="240" w:lineRule="auto"/>
        <w:ind w:left="108" w:hanging="108"/>
        <w:jc w:val="center"/>
      </w:pPr>
    </w:p>
    <w:p>
      <w:pPr>
        <w:pStyle w:val="正文 A"/>
        <w:widowControl w:val="0"/>
        <w:spacing w:before="100" w:after="60" w:line="240" w:lineRule="auto"/>
        <w:jc w:val="center"/>
      </w:pPr>
    </w:p>
    <w:p>
      <w:pPr>
        <w:pStyle w:val="正文 A"/>
        <w:spacing w:after="40"/>
      </w:pPr>
      <w:r>
        <w:rPr>
          <w:noProof/>
          <w:color w:val="5e6b67"/>
          <w:sz w:val="18"/>
          <w:szCs w:val="18"/>
          <w:u w:color="6f7b76"/>
          <w:rtl w:val="0"/>
          <w:lang w:val="en-US"/>
        </w:rPr>
        <w:t xml:space="preserve">LEGAVIK </w:t>
      </w:r>
      <w:r>
        <w:rPr>
          <w:color w:val="5e6b67"/>
          <w:sz w:val="18"/>
          <w:szCs w:val="18"/>
          <w:u w:color="6f7b76"/>
          <w:rtl w:val="0"/>
          <w:lang w:val="en-US"/>
        </w:rPr>
        <w:t xml:space="preserve">· </w:t>
      </w:r>
      <w:r>
        <w:rPr>
          <w:color w:val="5e6b67"/>
          <w:sz w:val="18"/>
          <w:szCs w:val="18"/>
          <w:u w:color="6f7b76"/>
          <w:rtl w:val="0"/>
          <w:lang w:val="en-US"/>
        </w:rPr>
        <w:t>Recovery Map</w:t>
      </w:r>
    </w:p>
    <w:p>
      <w:pPr>
        <w:pStyle w:val="正文 A"/>
        <w:spacing w:after="60"/>
      </w:pPr>
      <w:r>
        <w:rPr>
          <w:b w:val="1"/>
          <w:bCs w:val="1"/>
          <w:color w:val="147a56"/>
          <w:sz w:val="42"/>
          <w:szCs w:val="42"/>
          <w:u w:color="147a56"/>
          <w:rtl w:val="0"/>
          <w:lang w:val="en-US"/>
        </w:rPr>
        <w:t>C</w:t>
      </w:r>
      <w:r>
        <w:rPr>
          <w:rFonts w:eastAsia="PingFang SC Semibold" w:hint="eastAsia"/>
          <w:color w:val="147a56"/>
          <w:sz w:val="42"/>
          <w:szCs w:val="42"/>
          <w:u w:color="147a56"/>
          <w:rtl w:val="0"/>
          <w:lang w:val="en-US"/>
        </w:rPr>
        <w:t>｜自托管钱包</w:t>
      </w:r>
    </w:p>
    <w:p>
      <w:pPr>
        <w:pStyle w:val="正文 A"/>
        <w:spacing w:after="140"/>
      </w:pPr>
      <w:r>
        <w:rPr>
          <w:rFonts w:eastAsia="PingFang SC Regular" w:hint="eastAsia"/>
          <w:color w:val="6f7b76"/>
          <w:sz w:val="21"/>
          <w:szCs w:val="21"/>
          <w:u w:color="6f7b76"/>
          <w:rtl w:val="0"/>
          <w:lang w:val="en-US"/>
        </w:rPr>
        <w:t>适用于热钱包和冷钱包。记录原设备可用或需要从新设备恢复时的实际操作顺序。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42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钱包名称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品牌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2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钱包类别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2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钱包使用软件（如需要）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after="140" w:line="240" w:lineRule="auto"/>
        <w:ind w:left="108" w:hanging="108"/>
        <w:jc w:val="center"/>
      </w:pPr>
    </w:p>
    <w:p>
      <w:pPr>
        <w:pStyle w:val="正文 A"/>
        <w:widowControl w:val="0"/>
        <w:spacing w:after="140" w:line="240" w:lineRule="auto"/>
        <w:jc w:val="center"/>
      </w:pPr>
    </w:p>
    <w:p>
      <w:pPr>
        <w:pStyle w:val="正文 A"/>
        <w:spacing w:before="100" w:after="60"/>
      </w:pP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开始前确认</w:t>
      </w:r>
    </w:p>
    <w:tbl>
      <w:tblPr>
        <w:tblW w:w="1015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600"/>
        <w:gridCol w:w="6552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360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开始前确认</w:t>
            </w:r>
          </w:p>
        </w:tc>
        <w:tc>
          <w:tcPr>
            <w:tcW w:type="dxa" w:w="655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确认结果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说明</w:t>
            </w:r>
          </w:p>
        </w:tc>
      </w:tr>
      <w:tr>
        <w:tblPrEx>
          <w:shd w:val="clear" w:color="auto" w:fill="ced7e7"/>
        </w:tblPrEx>
        <w:trPr>
          <w:trHeight w:val="404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钱包恢复条件已准备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04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关键恢复材料已找到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04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官方软件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设备来源已确认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04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目标地址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后续处理方案已确认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before="100" w:after="60" w:line="240" w:lineRule="auto"/>
        <w:ind w:left="108" w:hanging="108"/>
        <w:jc w:val="center"/>
      </w:pPr>
    </w:p>
    <w:p>
      <w:pPr>
        <w:pStyle w:val="正文 A"/>
        <w:widowControl w:val="0"/>
        <w:spacing w:before="100" w:after="60" w:line="240" w:lineRule="auto"/>
        <w:jc w:val="center"/>
      </w:pPr>
    </w:p>
    <w:p>
      <w:pPr>
        <w:pStyle w:val="正文 A"/>
        <w:spacing w:before="10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>A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 </w:t>
      </w: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备用设备仍可用</w:t>
      </w:r>
    </w:p>
    <w:p>
      <w:pPr>
        <w:pStyle w:val="正文 A"/>
        <w:spacing w:after="4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按真实操作顺序填写；不足</w:t>
      </w:r>
      <w:r>
        <w:rPr>
          <w:color w:val="6f7b76"/>
          <w:sz w:val="17"/>
          <w:szCs w:val="17"/>
          <w:u w:color="6f7b76"/>
          <w:rtl w:val="0"/>
          <w:lang w:val="en-US"/>
        </w:rPr>
        <w:t>8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步骤</w:t>
            </w:r>
          </w:p>
        </w:tc>
        <w:tc>
          <w:tcPr>
            <w:tcW w:type="dxa" w:w="6897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ja-JP" w:eastAsia="ja-JP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必要提示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40" w:line="240" w:lineRule="auto"/>
        <w:ind w:left="108" w:hanging="108"/>
        <w:jc w:val="center"/>
      </w:pPr>
    </w:p>
    <w:p>
      <w:pPr>
        <w:pStyle w:val="正文 A"/>
        <w:widowControl w:val="0"/>
        <w:spacing w:after="40" w:line="240" w:lineRule="auto"/>
        <w:jc w:val="center"/>
      </w:pPr>
    </w:p>
    <w:p>
      <w:pPr>
        <w:pStyle w:val="正文 A"/>
        <w:spacing w:before="10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>B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｜原有设备不可用 </w:t>
      </w: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使用新设备恢复</w:t>
      </w:r>
    </w:p>
    <w:p>
      <w:pPr>
        <w:pStyle w:val="正文 A"/>
        <w:spacing w:after="4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记录从新设备重新访问或恢复时的真实操作顺序；不足</w:t>
      </w:r>
      <w:r>
        <w:rPr>
          <w:color w:val="6f7b76"/>
          <w:sz w:val="17"/>
          <w:szCs w:val="17"/>
          <w:u w:color="6f7b76"/>
          <w:rtl w:val="0"/>
          <w:lang w:val="en-US"/>
        </w:rPr>
        <w:t>8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步骤</w:t>
            </w:r>
          </w:p>
        </w:tc>
        <w:tc>
          <w:tcPr>
            <w:tcW w:type="dxa" w:w="6897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ja-JP" w:eastAsia="ja-JP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必要提示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40" w:line="240" w:lineRule="auto"/>
        <w:ind w:left="108" w:hanging="108"/>
        <w:jc w:val="center"/>
      </w:pPr>
    </w:p>
    <w:p>
      <w:pPr>
        <w:pStyle w:val="正文 A"/>
        <w:widowControl w:val="0"/>
        <w:spacing w:after="40" w:line="240" w:lineRule="auto"/>
        <w:jc w:val="center"/>
      </w:pPr>
    </w:p>
    <w:p>
      <w:pPr>
        <w:pStyle w:val="正文 A"/>
        <w:widowControl w:val="0"/>
        <w:spacing w:after="40" w:line="240" w:lineRule="auto"/>
        <w:jc w:val="center"/>
      </w:pPr>
    </w:p>
    <w:p>
      <w:pPr>
        <w:pStyle w:val="正文 A"/>
        <w:widowControl w:val="0"/>
        <w:spacing w:after="40" w:line="240" w:lineRule="auto"/>
        <w:jc w:val="center"/>
      </w:pPr>
    </w:p>
    <w:p>
      <w:pPr>
        <w:pStyle w:val="正文 A"/>
        <w:spacing w:before="100" w:after="60"/>
      </w:pP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 xml:space="preserve">其他说明 </w:t>
      </w:r>
      <w:r>
        <w:rPr>
          <w:b w:val="1"/>
          <w:bCs w:val="1"/>
          <w:color w:val="147a56"/>
          <w:sz w:val="21"/>
          <w:szCs w:val="21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>特殊情况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490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490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00" w:after="60" w:line="240" w:lineRule="auto"/>
        <w:ind w:left="108" w:hanging="108"/>
        <w:jc w:val="center"/>
      </w:pPr>
    </w:p>
    <w:p>
      <w:pPr>
        <w:pStyle w:val="正文 A"/>
        <w:widowControl w:val="0"/>
        <w:spacing w:before="100" w:after="60" w:line="240" w:lineRule="auto"/>
        <w:jc w:val="center"/>
      </w:pPr>
    </w:p>
    <w:p>
      <w:pPr>
        <w:pStyle w:val="正文 A"/>
        <w:spacing w:after="40"/>
      </w:pPr>
      <w:r>
        <w:rPr>
          <w:noProof/>
          <w:color w:val="5e6b67"/>
          <w:sz w:val="18"/>
          <w:szCs w:val="18"/>
          <w:u w:color="6f7b76"/>
          <w:rtl w:val="0"/>
          <w:lang w:val="en-US"/>
        </w:rPr>
        <w:t xml:space="preserve">LEGAVIK </w:t>
      </w:r>
      <w:r>
        <w:rPr>
          <w:color w:val="5e6b67"/>
          <w:sz w:val="18"/>
          <w:szCs w:val="18"/>
          <w:u w:color="6f7b76"/>
          <w:rtl w:val="0"/>
          <w:lang w:val="en-US"/>
        </w:rPr>
        <w:t xml:space="preserve">· </w:t>
      </w:r>
      <w:r>
        <w:rPr>
          <w:color w:val="5e6b67"/>
          <w:sz w:val="18"/>
          <w:szCs w:val="18"/>
          <w:u w:color="6f7b76"/>
          <w:rtl w:val="0"/>
          <w:lang w:val="en-US"/>
        </w:rPr>
        <w:t>Recovery Map</w:t>
      </w:r>
    </w:p>
    <w:p>
      <w:pPr>
        <w:pStyle w:val="正文 A"/>
        <w:spacing w:after="60"/>
      </w:pPr>
      <w:r>
        <w:rPr>
          <w:b w:val="1"/>
          <w:bCs w:val="1"/>
          <w:color w:val="147a56"/>
          <w:sz w:val="42"/>
          <w:szCs w:val="42"/>
          <w:u w:color="147a56"/>
          <w:rtl w:val="0"/>
          <w:lang w:val="en-US"/>
        </w:rPr>
        <w:t>D</w:t>
      </w:r>
      <w:r>
        <w:rPr>
          <w:rFonts w:eastAsia="PingFang SC Semibold" w:hint="eastAsia"/>
          <w:color w:val="147a56"/>
          <w:sz w:val="42"/>
          <w:szCs w:val="42"/>
          <w:u w:color="147a56"/>
          <w:rtl w:val="0"/>
          <w:lang w:val="en-US"/>
        </w:rPr>
        <w:t>｜多签钱包</w:t>
      </w:r>
    </w:p>
    <w:p>
      <w:pPr>
        <w:pStyle w:val="正文 A"/>
        <w:spacing w:after="140"/>
      </w:pPr>
      <w:r>
        <w:rPr>
          <w:rFonts w:eastAsia="PingFang SC Regular" w:hint="eastAsia"/>
          <w:color w:val="6f7b76"/>
          <w:sz w:val="21"/>
          <w:szCs w:val="21"/>
          <w:u w:color="6f7b76"/>
          <w:rtl w:val="0"/>
          <w:lang w:val="en-US"/>
        </w:rPr>
        <w:t xml:space="preserve">适用于 </w:t>
      </w:r>
      <w:r>
        <w:rPr>
          <w:color w:val="6f7b76"/>
          <w:sz w:val="21"/>
          <w:szCs w:val="21"/>
          <w:u w:color="6f7b76"/>
          <w:rtl w:val="0"/>
          <w:lang w:val="de-DE"/>
        </w:rPr>
        <w:t xml:space="preserve">Safe </w:t>
      </w:r>
      <w:r>
        <w:rPr>
          <w:rFonts w:eastAsia="PingFang SC Regular" w:hint="eastAsia"/>
          <w:color w:val="6f7b76"/>
          <w:sz w:val="21"/>
          <w:szCs w:val="21"/>
          <w:u w:color="6f7b76"/>
          <w:rtl w:val="0"/>
          <w:lang w:val="en-US"/>
        </w:rPr>
        <w:t xml:space="preserve">等多签钱包。核心是恢复达到 </w:t>
      </w:r>
      <w:r>
        <w:rPr>
          <w:color w:val="6f7b76"/>
          <w:sz w:val="21"/>
          <w:szCs w:val="21"/>
          <w:u w:color="6f7b76"/>
          <w:rtl w:val="0"/>
          <w:lang w:val="da-DK"/>
        </w:rPr>
        <w:t xml:space="preserve">Threshold </w:t>
      </w:r>
      <w:r>
        <w:rPr>
          <w:rFonts w:eastAsia="PingFang SC Regular" w:hint="eastAsia"/>
          <w:color w:val="6f7b76"/>
          <w:sz w:val="21"/>
          <w:szCs w:val="21"/>
          <w:u w:color="6f7b76"/>
          <w:rtl w:val="0"/>
          <w:lang w:val="en-US"/>
        </w:rPr>
        <w:t xml:space="preserve">数量的 </w:t>
      </w:r>
      <w:r>
        <w:rPr>
          <w:color w:val="6f7b76"/>
          <w:sz w:val="21"/>
          <w:szCs w:val="21"/>
          <w:u w:color="6f7b76"/>
          <w:rtl w:val="0"/>
          <w:lang w:val="da-DK"/>
        </w:rPr>
        <w:t>Signer</w:t>
      </w:r>
      <w:r>
        <w:rPr>
          <w:rFonts w:eastAsia="PingFang SC Regular" w:hint="eastAsia"/>
          <w:color w:val="6f7b76"/>
          <w:sz w:val="21"/>
          <w:szCs w:val="21"/>
          <w:u w:color="6f7b76"/>
          <w:rtl w:val="0"/>
          <w:lang w:val="en-US"/>
        </w:rPr>
        <w:t>，然后再完成提案、签名与执行。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42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多签钱包名称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2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多签地址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2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Signer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数量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2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Threshold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after="140" w:line="240" w:lineRule="auto"/>
        <w:ind w:left="108" w:hanging="108"/>
        <w:jc w:val="center"/>
      </w:pPr>
    </w:p>
    <w:p>
      <w:pPr>
        <w:pStyle w:val="正文 A"/>
        <w:widowControl w:val="0"/>
        <w:spacing w:after="140" w:line="240" w:lineRule="auto"/>
        <w:jc w:val="center"/>
      </w:pPr>
    </w:p>
    <w:p>
      <w:pPr>
        <w:pStyle w:val="正文 A"/>
        <w:spacing w:before="100" w:after="60"/>
      </w:pP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开始前确认</w:t>
      </w:r>
    </w:p>
    <w:tbl>
      <w:tblPr>
        <w:tblW w:w="1015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600"/>
        <w:gridCol w:w="6552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360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开始前确认</w:t>
            </w:r>
          </w:p>
        </w:tc>
        <w:tc>
          <w:tcPr>
            <w:tcW w:type="dxa" w:w="655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确认结果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说明</w:t>
            </w:r>
          </w:p>
        </w:tc>
      </w:tr>
      <w:tr>
        <w:tblPrEx>
          <w:shd w:val="clear" w:color="auto" w:fill="ced7e7"/>
        </w:tblPrEx>
        <w:trPr>
          <w:trHeight w:val="404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多签结构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/ Threshold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04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达到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Threshold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数量的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Signer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可以恢复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04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</w:rPr>
              <w:t>各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Signer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关键材料已找到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04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多签官方入口已确认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before="100" w:after="60" w:line="240" w:lineRule="auto"/>
        <w:ind w:left="108" w:hanging="108"/>
        <w:jc w:val="center"/>
      </w:pPr>
    </w:p>
    <w:p>
      <w:pPr>
        <w:pStyle w:val="正文 A"/>
        <w:widowControl w:val="0"/>
        <w:spacing w:before="100" w:after="60" w:line="240" w:lineRule="auto"/>
        <w:jc w:val="center"/>
      </w:pP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578" w:hRule="atLeast"/>
        </w:trPr>
        <w:tc>
          <w:tcPr>
            <w:tcW w:type="dxa" w:w="10570"/>
            <w:tcBorders>
              <w:top w:val="single" w:color="e8d8a7" w:sz="5" w:space="0" w:shadow="0" w:frame="0"/>
              <w:left w:val="single" w:color="e8d8a7" w:sz="5" w:space="0" w:shadow="0" w:frame="0"/>
              <w:bottom w:val="single" w:color="e8d8a7" w:sz="5" w:space="0" w:shadow="0" w:frame="0"/>
              <w:right w:val="single" w:color="e8d8a7" w:sz="5" w:space="0" w:shadow="0" w:frame="0"/>
            </w:tcBorders>
            <w:shd w:val="clear" w:color="auto" w:fill="fff6d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47a56"/>
                <w:rtl w:val="0"/>
                <w:lang w:val="zh-CN" w:eastAsia="zh-CN"/>
              </w:rPr>
              <w:t>重要提示｜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TW" w:eastAsia="zh-TW"/>
              </w:rPr>
              <w:t>例如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2-of-3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</w:rPr>
              <w:t>表示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3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个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Signer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TW" w:eastAsia="zh-TW"/>
              </w:rPr>
              <w:t>中至少需要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2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个完成签名；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3-of-5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</w:rPr>
              <w:t>表示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5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个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Signer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TW" w:eastAsia="zh-TW"/>
              </w:rPr>
              <w:t>中至少需要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3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个。以你实际设置的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Threshold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为准。</w:t>
            </w:r>
          </w:p>
        </w:tc>
      </w:tr>
    </w:tbl>
    <w:p>
      <w:pPr>
        <w:pStyle w:val="正文 A"/>
        <w:widowControl w:val="0"/>
        <w:spacing w:before="100" w:after="60" w:line="240" w:lineRule="auto"/>
        <w:ind w:left="108" w:hanging="108"/>
        <w:jc w:val="center"/>
      </w:pPr>
    </w:p>
    <w:p>
      <w:pPr>
        <w:pStyle w:val="正文 A"/>
        <w:widowControl w:val="0"/>
        <w:spacing w:before="100" w:after="60" w:line="240" w:lineRule="auto"/>
        <w:jc w:val="center"/>
      </w:pPr>
    </w:p>
    <w:p>
      <w:pPr>
        <w:pStyle w:val="正文 A"/>
        <w:spacing w:before="10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>A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 </w:t>
      </w: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备用设备仍可用</w:t>
      </w:r>
    </w:p>
    <w:p>
      <w:pPr>
        <w:pStyle w:val="正文 A"/>
        <w:spacing w:after="4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按真实操作顺序填写；不足</w:t>
      </w:r>
      <w:r>
        <w:rPr>
          <w:color w:val="6f7b76"/>
          <w:sz w:val="17"/>
          <w:szCs w:val="17"/>
          <w:u w:color="6f7b76"/>
          <w:rtl w:val="0"/>
          <w:lang w:val="en-US"/>
        </w:rPr>
        <w:t>8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步骤</w:t>
            </w:r>
          </w:p>
        </w:tc>
        <w:tc>
          <w:tcPr>
            <w:tcW w:type="dxa" w:w="6897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ja-JP" w:eastAsia="ja-JP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必要提示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40" w:line="240" w:lineRule="auto"/>
        <w:ind w:left="108" w:hanging="108"/>
        <w:jc w:val="center"/>
      </w:pPr>
    </w:p>
    <w:p>
      <w:pPr>
        <w:pStyle w:val="正文 A"/>
        <w:widowControl w:val="0"/>
        <w:spacing w:after="40" w:line="240" w:lineRule="auto"/>
        <w:jc w:val="center"/>
      </w:pPr>
    </w:p>
    <w:p>
      <w:pPr>
        <w:pStyle w:val="正文 A"/>
        <w:spacing w:before="10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>B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｜原有设备不可用 </w:t>
      </w: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使用新设备恢复</w:t>
      </w:r>
    </w:p>
    <w:p>
      <w:pPr>
        <w:pStyle w:val="正文 A"/>
        <w:spacing w:after="4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记录从新设备重新访问或恢复时的真实操作顺序；不足</w:t>
      </w:r>
      <w:r>
        <w:rPr>
          <w:color w:val="6f7b76"/>
          <w:sz w:val="17"/>
          <w:szCs w:val="17"/>
          <w:u w:color="6f7b76"/>
          <w:rtl w:val="0"/>
          <w:lang w:val="en-US"/>
        </w:rPr>
        <w:t>8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步骤</w:t>
            </w:r>
          </w:p>
        </w:tc>
        <w:tc>
          <w:tcPr>
            <w:tcW w:type="dxa" w:w="6897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ja-JP" w:eastAsia="ja-JP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必要提示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40" w:line="240" w:lineRule="auto"/>
        <w:ind w:left="108" w:hanging="108"/>
        <w:jc w:val="center"/>
      </w:pPr>
    </w:p>
    <w:p>
      <w:pPr>
        <w:pStyle w:val="正文 A"/>
        <w:widowControl w:val="0"/>
        <w:spacing w:after="40" w:line="240" w:lineRule="auto"/>
        <w:jc w:val="center"/>
      </w:pPr>
    </w:p>
    <w:p>
      <w:pPr>
        <w:pStyle w:val="正文 A"/>
        <w:widowControl w:val="0"/>
        <w:spacing w:after="40" w:line="240" w:lineRule="auto"/>
        <w:jc w:val="center"/>
      </w:pPr>
    </w:p>
    <w:p>
      <w:pPr>
        <w:pStyle w:val="正文 A"/>
        <w:widowControl w:val="0"/>
        <w:spacing w:after="40" w:line="240" w:lineRule="auto"/>
        <w:jc w:val="center"/>
      </w:pPr>
    </w:p>
    <w:p>
      <w:pPr>
        <w:pStyle w:val="正文 A"/>
        <w:spacing w:before="100" w:after="60"/>
      </w:pP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 xml:space="preserve">其他说明 </w:t>
      </w:r>
      <w:r>
        <w:rPr>
          <w:b w:val="1"/>
          <w:bCs w:val="1"/>
          <w:color w:val="147a56"/>
          <w:sz w:val="21"/>
          <w:szCs w:val="21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>特殊情况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490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490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00" w:after="60" w:line="240" w:lineRule="auto"/>
        <w:ind w:left="108" w:hanging="108"/>
        <w:jc w:val="center"/>
      </w:pPr>
      <w:r/>
    </w:p>
    <w:sectPr>
      <w:headerReference w:type="default" r:id="rId4"/>
      <w:footerReference w:type="default" r:id="rId5"/>
      <w:pgSz w:w="12240" w:h="15840" w:orient="portrait"/>
      <w:pgMar w:top="893" w:right="936" w:bottom="835" w:left="936" w:header="720" w:footer="259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PingFang SC Semibold">
    <w:charset w:val="00"/>
    <w:family w:val="roman"/>
    <w:pitch w:val="default"/>
  </w:font>
  <w:font w:name="PingFang SC Regular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ooter"/>
      <w:jc w:val="center"/>
    </w:pPr>
    <w:r>
      <w:rPr>
        <w:noProof/>
        <w:color w:val="6f7b76"/>
        <w:sz w:val="16"/>
        <w:szCs w:val="16"/>
        <w:u w:color="6f7b76"/>
        <w:rtl w:val="0"/>
        <w:lang w:val="en-US"/>
      </w:rPr>
      <w:t xml:space="preserve">LEGAVIK  </w:t>
    </w:r>
    <w:r>
      <w:rPr>
        <w:color w:val="6f7b76"/>
        <w:sz w:val="16"/>
        <w:szCs w:val="16"/>
        <w:u w:color="6f7b76"/>
        <w:rtl w:val="0"/>
        <w:lang w:val="en-US"/>
      </w:rPr>
      <w:t xml:space="preserve">·  </w:t>
    </w:r>
    <w:r>
      <w:rPr>
        <w:color w:val="6f7b76"/>
        <w:sz w:val="16"/>
        <w:szCs w:val="16"/>
        <w:u w:color="6f7b76"/>
        <w:rtl w:val="0"/>
        <w:lang w:val="en-US"/>
      </w:rPr>
      <w:t>Recovery Map</w:t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页眉与页脚"/>
      <w:bidi w:val="0"/>
      <w:spacing w:after="0"/>
      <w:jc w:val="left"/>
    </w:pPr>
    <w:r/>
    <w:r>
      <w:drawing>
        <wp:inline xmlns:a="http://schemas.openxmlformats.org/drawingml/2006/main" xmlns:pic="http://schemas.openxmlformats.org/drawingml/2006/picture">
          <wp:extent cx="1234440" cy="41148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egavik-brand-master-v1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34440" cy="411480"/>
                  </a:xfrm>
                  <a:prstGeom prst="rect"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1"/>
  <w:evenAndOddHeaders w:val="0"/>
  <w:bookFoldPrinting w:val="0"/>
  <w:noLineBreaksAfter w:lang="中文" w:val="‘“(〔[{〈《「『【⦅〘〖«〝︵︷︹︻︽︿﹁﹃﹇﹙﹛﹝｢"/>
  <w:noLineBreaksBefore w:lang="中文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页眉与页脚">
    <w:name w:val="页眉与页脚"/>
    <w:next w:val="页眉与页脚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vertAlign w:val="baseline"/>
    </w:rPr>
  </w:style>
  <w:style w:type="paragraph" w:styleId="footer">
    <w:name w:val="footer"/>
    <w:next w:val="footer"/>
    <w:pPr>
      <w:keepNext w:val="0"/>
      <w:keepLines w:val="0"/>
      <w:pageBreakBefore w:val="0"/>
      <w:widowControl w:val="1"/>
      <w:shd w:val="clear" w:color="auto" w:fill="auto"/>
      <w:tabs>
        <w:tab w:val="center" w:pos="4680"/>
        <w:tab w:val="right" w:pos="936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vertAlign w:val="baseline"/>
      <w:lang w:val="en-US"/>
    </w:rPr>
  </w:style>
  <w:style w:type="paragraph" w:styleId="正文 A">
    <w:name w:val="正文 A"/>
    <w:next w:val="正文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vertAlign w:val="baseline"/>
      <w:lang w:val="en-US"/>
    </w:rPr>
  </w:style>
  <w:style w:type="paragraph" w:styleId="正文">
    <w:name w:val="正文"/>
    <w:next w:val="正文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rial Unicode MS" w:cs="Arial Unicode MS" w:hAnsi="Arial Unicode MS" w:eastAsia="Times New Roman" w:hint="eastAsia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vertAlign w:val="baseline"/>
      <w:lang w:val="zh-CN" w:eastAsia="zh-CN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LEGAVIK Module4 恢复与转移步骤 单一平台恢复步骤 Canonical V2.1</dc:title>
  <dc:subject>Digital Asset Recovery Infrastructure</dc:subject>
  <dc:creator>LEGAVIK</dc:creator>
  <cp:lastModifiedBy>LEGAVIK</cp:lastModifiedBy>
  <cp:keywords>LEGAVIK, Digital Asset Recovery &amp; Legacy, Recovery Map</cp:keywords>
</cp:coreProperties>
</file>