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4"/>
          <w:szCs w:val="44"/>
          <w:u w:color="147a56"/>
          <w:rtl w:val="0"/>
        </w:rPr>
        <w:t>4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｜恢复与转移步骤｜汇总平台填写模板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19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本模板是本模块电子填写内容的辅助整理工具。可以与线上填写内容配合使用，也可以上传其他文字、图片、音频或自定义附件作为补充。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同一账户在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备用设备仍可用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和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使用新设备恢复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正式产品可根据模块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已经选择的平台类型和数量，自动生成相应的填写页；本评审版同时展示四类账户，便于统一检查。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建议先完成模块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所需恢复条件和模块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先恢复关联钱包，再重新连接协议并核对仓位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原设备解锁或新设备导入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40" w:after="8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>• 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汇总平台填写模板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用于在一份文件中整理多个平台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钱包的恢复步骤；如某个平台情况复杂，后续可使用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单一平台填写模板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单独展开。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每种场景最多预留</w:t>
      </w:r>
      <w:r>
        <w:rPr>
          <w:color w:val="22302a"/>
          <w:sz w:val="18"/>
          <w:szCs w:val="18"/>
          <w:u w:color="22302a"/>
          <w:rtl w:val="0"/>
        </w:rPr>
        <w:t>10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步，不足</w:t>
      </w:r>
      <w:r>
        <w:rPr>
          <w:color w:val="22302a"/>
          <w:sz w:val="18"/>
          <w:szCs w:val="18"/>
          <w:u w:color="22302a"/>
          <w:rtl w:val="0"/>
        </w:rPr>
        <w:t>10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步无需填满。步骤较多时可在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其他说明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特殊情况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继续补充。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填写完成后，可将本文件作为本模块附件上传，也可以保存在自己的设备中。</w:t>
      </w: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648" w:right="835" w:bottom="648" w:left="835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noProof/>
        <w:color w:val="6f7b76"/>
        <w:sz w:val="16"/>
        <w:szCs w:val="16"/>
        <w:u w:color="6f7b76"/>
        <w:rtl w:val="0"/>
        <w:lang w:val="en-US"/>
      </w:rPr>
      <w:t xml:space="preserve">LEGAVIK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spacing w:after="0"/>
      <w:jc w:val="left"/>
    </w:pPr>
    <w:r/>
    <w:r>
      <w:drawing>
        <wp:inline xmlns:a="http://schemas.openxmlformats.org/drawingml/2006/main" xmlns:pic="http://schemas.openxmlformats.org/drawingml/2006/picture">
          <wp:extent cx="123444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avik-brand-master-v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汇总填写模板 Clean Formal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