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LEGAVIK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｜恢复与转移步骤｜单一平台恢复步骤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96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"/>
        <w:spacing w:before="240" w:after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zh-CN" w:eastAsia="zh-CN"/>
        </w:rPr>
        <w:t>账户类型与平台名称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4"/>
        <w:gridCol w:w="5184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账户类型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TW" w:eastAsia="zh-TW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40" w:after="120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原设备解锁或新设备恢复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LEGAVIK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个完成签名；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3-of-5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个。以你实际设置的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为准。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LEGAVIK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spacing w:after="0"/>
      <w:jc w:val="left"/>
    </w:pPr>
    <w:r/>
    <w:r>
      <w:drawing>
        <wp:inline xmlns:a="http://schemas.openxmlformats.org/drawingml/2006/main" xmlns:pic="http://schemas.openxmlformats.org/drawingml/2006/picture">
          <wp:extent cx="123444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avik-brand-master-v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单一平台恢复步骤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