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"/>
        <w:spacing w:after="40"/>
      </w:pPr>
      <w:r>
        <w:rPr>
          <w:color w:val="6f7b76"/>
          <w:sz w:val="18"/>
          <w:szCs w:val="18"/>
          <w:u w:color="6f7b76"/>
          <w:rtl w:val="0"/>
          <w:lang w:val="en-US"/>
        </w:rPr>
        <w:t xml:space="preserve">LEGAVIK  /  Recovery Map </w:t>
      </w:r>
      <w:r>
        <w:rPr>
          <w:rFonts w:eastAsia="PingFang SC Regular" w:hint="eastAsia"/>
          <w:color w:val="6f7b76"/>
          <w:sz w:val="18"/>
          <w:szCs w:val="18"/>
          <w:u w:color="6f7b76"/>
          <w:rtl w:val="0"/>
          <w:lang w:val="en-US"/>
        </w:rPr>
        <w:t>填写工具</w:t>
      </w:r>
    </w:p>
    <w:p>
      <w:pPr>
        <w:pStyle w:val="正文"/>
        <w:spacing w:after="60"/>
      </w:pP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模块</w:t>
      </w:r>
      <w:r>
        <w:rPr>
          <w:b w:val="1"/>
          <w:bCs w:val="1"/>
          <w:color w:val="147a56"/>
          <w:sz w:val="44"/>
          <w:szCs w:val="44"/>
          <w:u w:color="147a56"/>
          <w:rtl w:val="0"/>
        </w:rPr>
        <w:t>4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｜恢复与转移步骤｜汇总平台填写模板</w:t>
      </w:r>
    </w:p>
    <w:p>
      <w:pPr>
        <w:pStyle w:val="正文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按不同账户类型和设备状态，记录实际登录、恢复和必要转移的操作顺序。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2519" w:hRule="atLeast"/>
        </w:trPr>
        <w:tc>
          <w:tcPr>
            <w:tcW w:type="dxa" w:w="10570"/>
            <w:tcBorders>
              <w:top w:val="single" w:color="ddebe4" w:sz="5" w:space="0" w:shadow="0" w:frame="0"/>
              <w:left w:val="single" w:color="ddebe4" w:sz="5" w:space="0" w:shadow="0" w:frame="0"/>
              <w:bottom w:val="single" w:color="ddebe4" w:sz="5" w:space="0" w:shadow="0" w:frame="0"/>
              <w:right w:val="single" w:color="ddebe4" w:sz="5" w:space="0" w:shadow="0" w:frame="0"/>
            </w:tcBorders>
            <w:shd w:val="clear" w:color="auto" w:fill="eaf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rPr/>
            </w:pPr>
            <w:r>
              <w:rPr>
                <w:rFonts w:eastAsia="PingFang SC Semibold" w:hint="eastAsia"/>
                <w:color w:val="147a56"/>
                <w:sz w:val="22"/>
                <w:szCs w:val="22"/>
                <w:u w:color="147a56"/>
                <w:rtl w:val="0"/>
                <w:lang w:val="en-US"/>
              </w:rPr>
              <w:t>模板说明</w:t>
            </w:r>
          </w:p>
          <w:p>
            <w:pPr>
              <w:pStyle w:val="正文"/>
              <w:bidi w:val="0"/>
              <w:spacing w:after="40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本模板是本模块电子填写内容的辅助整理工具。可以与线上填写内容配合使用，也可以上传其他文字、图片、音频或自定义附件作为补充。</w:t>
            </w:r>
          </w:p>
          <w:p>
            <w:pPr>
              <w:pStyle w:val="正文"/>
              <w:bidi w:val="0"/>
              <w:spacing w:after="40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同一账户在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原有 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备用设备仍可用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”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和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原有设备不可用 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使用新设备恢复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”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两种情况下，操作路径可能明显不同，因此分别记录。</w:t>
            </w:r>
          </w:p>
          <w:p>
            <w:pPr>
              <w:pStyle w:val="正文"/>
              <w:bidi w:val="0"/>
              <w:spacing w:after="40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正式产品可根据模块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1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已经选择的平台类型和数量，自动生成相应的填写页；本评审版同时展示四类账户，便于统一检查。</w:t>
            </w:r>
          </w:p>
          <w:p>
            <w:pPr>
              <w:pStyle w:val="正文"/>
              <w:bidi w:val="0"/>
              <w:spacing w:after="40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建议先完成模块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2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所需恢复条件和模块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3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位置与查找信息，再填写本模块。步骤应以真实账户、官方流程或实际演练结果为准。</w:t>
            </w:r>
          </w:p>
          <w:p>
            <w:pPr>
              <w:pStyle w:val="正文"/>
              <w:bidi w:val="0"/>
              <w:spacing w:after="40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涉及助记词或私钥时，只记录操作方式和顺序，不要在本模板中填写完整内容。</w:t>
            </w:r>
          </w:p>
        </w:tc>
      </w:tr>
    </w:tbl>
    <w:p>
      <w:pPr>
        <w:pStyle w:val="正文"/>
        <w:widowControl w:val="0"/>
        <w:spacing w:after="160" w:line="240" w:lineRule="auto"/>
        <w:jc w:val="center"/>
      </w:pPr>
    </w:p>
    <w:p>
      <w:pPr>
        <w:pStyle w:val="正文"/>
        <w:spacing w:before="140" w:after="80"/>
      </w:pP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不同账户类型的填写重点</w:t>
      </w:r>
    </w:p>
    <w:tbl>
      <w:tblPr>
        <w:tblW w:w="1015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232"/>
        <w:gridCol w:w="3096"/>
        <w:gridCol w:w="4824"/>
      </w:tblGrid>
      <w:tr>
        <w:tblPrEx>
          <w:shd w:val="clear" w:color="auto" w:fill="ced7e7"/>
        </w:tblPrEx>
        <w:trPr>
          <w:trHeight w:val="256" w:hRule="atLeast"/>
        </w:trPr>
        <w:tc>
          <w:tcPr>
            <w:tcW w:type="dxa" w:w="223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7"/>
                <w:szCs w:val="17"/>
                <w:u w:color="ffffff"/>
                <w:rtl w:val="0"/>
                <w:lang w:val="en-US"/>
              </w:rPr>
              <w:t>类型</w:t>
            </w:r>
          </w:p>
        </w:tc>
        <w:tc>
          <w:tcPr>
            <w:tcW w:type="dxa" w:w="30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7"/>
                <w:szCs w:val="17"/>
                <w:u w:color="ffffff"/>
                <w:rtl w:val="0"/>
                <w:lang w:val="en-US"/>
              </w:rPr>
              <w:t>适用对象</w:t>
            </w:r>
          </w:p>
        </w:tc>
        <w:tc>
          <w:tcPr>
            <w:tcW w:type="dxa" w:w="4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7"/>
                <w:szCs w:val="17"/>
                <w:u w:color="ffffff"/>
                <w:rtl w:val="0"/>
                <w:lang w:val="en-US"/>
              </w:rPr>
              <w:t>步骤重点</w:t>
            </w:r>
          </w:p>
        </w:tc>
      </w:tr>
      <w:tr>
        <w:tblPrEx>
          <w:shd w:val="clear" w:color="auto" w:fill="ced7e7"/>
        </w:tblPrEx>
        <w:trPr>
          <w:trHeight w:val="451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A</w:t>
            </w:r>
            <w:r>
              <w:rPr>
                <w:rFonts w:eastAsia="PingFang SC Semibold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｜中心化交易所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Binance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OKX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Coinbase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登录验证、账户恢复、身份核验、安全检查及必要转移</w:t>
            </w:r>
          </w:p>
        </w:tc>
      </w:tr>
      <w:tr>
        <w:tblPrEx>
          <w:shd w:val="clear" w:color="auto" w:fill="ced7e7"/>
        </w:tblPrEx>
        <w:trPr>
          <w:trHeight w:val="451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B</w:t>
            </w:r>
            <w:r>
              <w:rPr>
                <w:rFonts w:eastAsia="PingFang SC Semibold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｜</w:t>
            </w: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DEX / DeFi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Uniswap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Aave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先恢复关联钱包，再重新连接协议并核对仓位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授权</w:t>
            </w:r>
          </w:p>
        </w:tc>
      </w:tr>
      <w:tr>
        <w:tblPrEx>
          <w:shd w:val="clear" w:color="auto" w:fill="ced7e7"/>
        </w:tblPrEx>
        <w:trPr>
          <w:trHeight w:val="451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C</w:t>
            </w:r>
            <w:r>
              <w:rPr>
                <w:rFonts w:eastAsia="PingFang SC Semibold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｜自托管钱包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热钱包、冷钱包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原设备解锁或新设备导入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恢复、核对地址与资产</w:t>
            </w:r>
          </w:p>
        </w:tc>
      </w:tr>
      <w:tr>
        <w:tblPrEx>
          <w:shd w:val="clear" w:color="auto" w:fill="ced7e7"/>
        </w:tblPrEx>
        <w:trPr>
          <w:trHeight w:val="451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D</w:t>
            </w:r>
            <w:r>
              <w:rPr>
                <w:rFonts w:eastAsia="PingFang SC Semibold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｜多签钱包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Safe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恢复达到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Threshold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数量的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Signer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，再完成提案、签名与执行</w:t>
            </w:r>
          </w:p>
        </w:tc>
      </w:tr>
    </w:tbl>
    <w:p>
      <w:pPr>
        <w:pStyle w:val="正文"/>
        <w:widowControl w:val="0"/>
        <w:spacing w:before="140" w:after="80" w:line="240" w:lineRule="auto"/>
        <w:jc w:val="center"/>
      </w:pPr>
    </w:p>
    <w:p>
      <w:pPr>
        <w:pStyle w:val="正文"/>
        <w:spacing w:before="12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使用方式</w:t>
      </w:r>
    </w:p>
    <w:p>
      <w:pPr>
        <w:pStyle w:val="正文"/>
        <w:spacing w:after="40"/>
      </w:pPr>
      <w:r>
        <w:rPr>
          <w:color w:val="22302a"/>
          <w:sz w:val="18"/>
          <w:szCs w:val="18"/>
          <w:u w:color="22302a"/>
          <w:rtl w:val="0"/>
          <w:lang w:val="en-US"/>
        </w:rPr>
        <w:t>• “</w:t>
      </w: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>汇总平台填写模板</w:t>
      </w:r>
      <w:r>
        <w:rPr>
          <w:color w:val="22302a"/>
          <w:sz w:val="18"/>
          <w:szCs w:val="18"/>
          <w:u w:color="22302a"/>
          <w:rtl w:val="0"/>
          <w:lang w:val="en-US"/>
        </w:rPr>
        <w:t>”</w:t>
      </w: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 xml:space="preserve">用于在一份文件中整理多个平台 </w:t>
      </w:r>
      <w:r>
        <w:rPr>
          <w:color w:val="22302a"/>
          <w:sz w:val="18"/>
          <w:szCs w:val="18"/>
          <w:u w:color="22302a"/>
          <w:rtl w:val="0"/>
        </w:rPr>
        <w:t xml:space="preserve">/ </w:t>
      </w: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>钱包的恢复步骤；如某个平台情况复杂，后续可使用</w:t>
      </w:r>
      <w:r>
        <w:rPr>
          <w:color w:val="22302a"/>
          <w:sz w:val="18"/>
          <w:szCs w:val="18"/>
          <w:u w:color="22302a"/>
          <w:rtl w:val="0"/>
          <w:lang w:val="en-US"/>
        </w:rPr>
        <w:t>“</w:t>
      </w: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>单一平台填写模板</w:t>
      </w:r>
      <w:r>
        <w:rPr>
          <w:color w:val="22302a"/>
          <w:sz w:val="18"/>
          <w:szCs w:val="18"/>
          <w:u w:color="22302a"/>
          <w:rtl w:val="0"/>
          <w:lang w:val="en-US"/>
        </w:rPr>
        <w:t>”</w:t>
      </w: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>单独展开。</w:t>
      </w:r>
    </w:p>
    <w:p>
      <w:pPr>
        <w:pStyle w:val="正文"/>
        <w:spacing w:after="40"/>
      </w:pPr>
      <w:r>
        <w:rPr>
          <w:color w:val="22302a"/>
          <w:sz w:val="18"/>
          <w:szCs w:val="18"/>
          <w:u w:color="22302a"/>
          <w:rtl w:val="0"/>
          <w:lang w:val="en-US"/>
        </w:rPr>
        <w:t xml:space="preserve">• </w:t>
      </w: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>每种场景最多预留</w:t>
      </w:r>
      <w:r>
        <w:rPr>
          <w:color w:val="22302a"/>
          <w:sz w:val="18"/>
          <w:szCs w:val="18"/>
          <w:u w:color="22302a"/>
          <w:rtl w:val="0"/>
        </w:rPr>
        <w:t>10</w:t>
      </w: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>步，不足</w:t>
      </w:r>
      <w:r>
        <w:rPr>
          <w:color w:val="22302a"/>
          <w:sz w:val="18"/>
          <w:szCs w:val="18"/>
          <w:u w:color="22302a"/>
          <w:rtl w:val="0"/>
        </w:rPr>
        <w:t>10</w:t>
      </w: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>步无需填满。步骤较多时可在</w:t>
      </w:r>
      <w:r>
        <w:rPr>
          <w:color w:val="22302a"/>
          <w:sz w:val="18"/>
          <w:szCs w:val="18"/>
          <w:u w:color="22302a"/>
          <w:rtl w:val="0"/>
          <w:lang w:val="en-US"/>
        </w:rPr>
        <w:t>“</w:t>
      </w: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 xml:space="preserve">其他说明 </w:t>
      </w:r>
      <w:r>
        <w:rPr>
          <w:color w:val="22302a"/>
          <w:sz w:val="18"/>
          <w:szCs w:val="18"/>
          <w:u w:color="22302a"/>
          <w:rtl w:val="0"/>
        </w:rPr>
        <w:t xml:space="preserve">/ </w:t>
      </w: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>特殊情况</w:t>
      </w:r>
      <w:r>
        <w:rPr>
          <w:color w:val="22302a"/>
          <w:sz w:val="18"/>
          <w:szCs w:val="18"/>
          <w:u w:color="22302a"/>
          <w:rtl w:val="0"/>
          <w:lang w:val="en-US"/>
        </w:rPr>
        <w:t>”</w:t>
      </w: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>继续补充。</w:t>
      </w:r>
    </w:p>
    <w:p>
      <w:pPr>
        <w:pStyle w:val="正文"/>
        <w:spacing w:after="40"/>
      </w:pPr>
      <w:r>
        <w:rPr>
          <w:color w:val="22302a"/>
          <w:sz w:val="18"/>
          <w:szCs w:val="18"/>
          <w:u w:color="22302a"/>
          <w:rtl w:val="0"/>
          <w:lang w:val="en-US"/>
        </w:rPr>
        <w:t xml:space="preserve">• </w:t>
      </w: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>填写完成后，可将本文件作为本模块附件上传，也可以保存在自己的设备中。</w:t>
      </w:r>
    </w:p>
    <w:p>
      <w:pPr>
        <w:pStyle w:val="正文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</w:r>
    </w:p>
    <w:p>
      <w:pPr>
        <w:pStyle w:val="正文"/>
        <w:spacing w:after="40"/>
      </w:pPr>
      <w:r>
        <w:rPr>
          <w:color w:val="6f7b76"/>
          <w:sz w:val="18"/>
          <w:szCs w:val="18"/>
          <w:u w:color="6f7b76"/>
          <w:rtl w:val="0"/>
          <w:lang w:val="en-US"/>
        </w:rPr>
        <w:t xml:space="preserve">LEGAVIK  /  Recovery Map </w:t>
      </w:r>
      <w:r>
        <w:rPr>
          <w:rFonts w:eastAsia="PingFang SC Regular" w:hint="eastAsia"/>
          <w:color w:val="6f7b76"/>
          <w:sz w:val="18"/>
          <w:szCs w:val="18"/>
          <w:u w:color="6f7b76"/>
          <w:rtl w:val="0"/>
          <w:lang w:val="en-US"/>
        </w:rPr>
        <w:t>填写工具</w:t>
      </w:r>
    </w:p>
    <w:p>
      <w:pPr>
        <w:pStyle w:val="正文"/>
        <w:spacing w:after="60"/>
      </w:pPr>
      <w:r>
        <w:rPr>
          <w:b w:val="1"/>
          <w:bCs w:val="1"/>
          <w:color w:val="147a56"/>
          <w:sz w:val="44"/>
          <w:szCs w:val="44"/>
          <w:u w:color="147a56"/>
          <w:rtl w:val="0"/>
        </w:rPr>
        <w:t>A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｜中心化交易所填写页</w:t>
      </w:r>
    </w:p>
    <w:p>
      <w:pPr>
        <w:pStyle w:val="正文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 xml:space="preserve">用于记录中心化交易所在原有 </w:t>
      </w:r>
      <w:r>
        <w:rPr>
          <w:color w:val="6f7b76"/>
          <w:sz w:val="22"/>
          <w:szCs w:val="22"/>
          <w:u w:color="6f7b76"/>
          <w:rtl w:val="0"/>
        </w:rPr>
        <w:t xml:space="preserve">/ 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备用设备可用或需要新设备恢复时的操作步骤。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1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交易所名称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账户 </w:t>
            </w:r>
            <w:r>
              <w:rPr>
                <w:b w:val="1"/>
                <w:bCs w:val="1"/>
                <w:color w:val="22302a"/>
                <w:sz w:val="18"/>
                <w:szCs w:val="18"/>
                <w:u w:color="22302a"/>
                <w:rtl w:val="0"/>
                <w:lang w:val="en-US"/>
              </w:rPr>
              <w:t>/ UID / Username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交易所注册邮箱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交易所注册手机号（如使用）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160" w:line="240" w:lineRule="auto"/>
        <w:jc w:val="center"/>
      </w:pPr>
    </w:p>
    <w:p>
      <w:pPr>
        <w:pStyle w:val="正文"/>
        <w:spacing w:before="12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确认结果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模块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2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所需恢复条件已准备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模块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3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关键材料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设备已找到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正在使用交易所官方入口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后续接收地址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before="120" w:after="60" w:line="240" w:lineRule="auto"/>
        <w:jc w:val="center"/>
      </w:pPr>
    </w:p>
    <w:p>
      <w:pPr>
        <w:pStyle w:val="正文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按实际操作顺序填写；不足</w:t>
      </w:r>
      <w:r>
        <w:rPr>
          <w:color w:val="6f7b76"/>
          <w:sz w:val="17"/>
          <w:szCs w:val="17"/>
          <w:u w:color="6f7b76"/>
          <w:rtl w:val="0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60" w:line="240" w:lineRule="auto"/>
        <w:jc w:val="center"/>
      </w:pPr>
    </w:p>
    <w:p>
      <w:pPr>
        <w:pStyle w:val="正文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60" w:line="240" w:lineRule="auto"/>
        <w:jc w:val="center"/>
      </w:pP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72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147a56"/>
                <w:sz w:val="18"/>
                <w:szCs w:val="18"/>
                <w:u w:color="147a56"/>
                <w:rtl w:val="0"/>
                <w:lang w:val="en-US"/>
              </w:rPr>
              <w:t>重要提示｜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"/>
        <w:widowControl w:val="0"/>
        <w:spacing w:after="60" w:line="240" w:lineRule="auto"/>
        <w:jc w:val="center"/>
      </w:pPr>
    </w:p>
    <w:p>
      <w:pPr>
        <w:pStyle w:val="正文"/>
        <w:spacing w:before="12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8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8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20" w:after="60" w:line="240" w:lineRule="auto"/>
        <w:jc w:val="center"/>
      </w:pPr>
    </w:p>
    <w:p>
      <w:pPr>
        <w:pStyle w:val="正文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</w:r>
    </w:p>
    <w:p>
      <w:pPr>
        <w:pStyle w:val="正文"/>
        <w:spacing w:after="40"/>
      </w:pPr>
      <w:r>
        <w:rPr>
          <w:color w:val="6f7b76"/>
          <w:sz w:val="18"/>
          <w:szCs w:val="18"/>
          <w:u w:color="6f7b76"/>
          <w:rtl w:val="0"/>
          <w:lang w:val="en-US"/>
        </w:rPr>
        <w:t xml:space="preserve">LEGAVIK  /  Recovery Map </w:t>
      </w:r>
      <w:r>
        <w:rPr>
          <w:rFonts w:eastAsia="PingFang SC Regular" w:hint="eastAsia"/>
          <w:color w:val="6f7b76"/>
          <w:sz w:val="18"/>
          <w:szCs w:val="18"/>
          <w:u w:color="6f7b76"/>
          <w:rtl w:val="0"/>
          <w:lang w:val="en-US"/>
        </w:rPr>
        <w:t>填写工具</w:t>
      </w:r>
    </w:p>
    <w:p>
      <w:pPr>
        <w:pStyle w:val="正文"/>
        <w:spacing w:after="60"/>
      </w:pPr>
      <w:r>
        <w:rPr>
          <w:b w:val="1"/>
          <w:bCs w:val="1"/>
          <w:color w:val="147a56"/>
          <w:sz w:val="44"/>
          <w:szCs w:val="44"/>
          <w:u w:color="147a56"/>
          <w:rtl w:val="0"/>
        </w:rPr>
        <w:t>B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</w:t>
      </w:r>
      <w:r>
        <w:rPr>
          <w:b w:val="1"/>
          <w:bCs w:val="1"/>
          <w:color w:val="147a56"/>
          <w:sz w:val="44"/>
          <w:szCs w:val="44"/>
          <w:u w:color="147a56"/>
          <w:rtl w:val="0"/>
          <w:lang w:val="da-DK"/>
        </w:rPr>
        <w:t>DEX / DeFi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填写页</w:t>
      </w:r>
    </w:p>
    <w:p>
      <w:pPr>
        <w:pStyle w:val="正文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先恢复关联钱包，再记录重新连接协议和必要操作的实际步骤。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1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协议 </w:t>
            </w:r>
            <w:r>
              <w:rPr>
                <w:b w:val="1"/>
                <w:bCs w:val="1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平台名称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关联钱包名称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160" w:line="240" w:lineRule="auto"/>
        <w:jc w:val="center"/>
      </w:pPr>
    </w:p>
    <w:p>
      <w:pPr>
        <w:pStyle w:val="正文"/>
        <w:spacing w:before="12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确认结果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关联钱包恢复条件已准备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关联钱包关键材料已找到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协议官方入口已确认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后续资产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仓位处理方案已确认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before="120" w:after="60" w:line="240" w:lineRule="auto"/>
        <w:jc w:val="center"/>
      </w:pPr>
    </w:p>
    <w:p>
      <w:pPr>
        <w:pStyle w:val="正文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按实际操作顺序填写；不足</w:t>
      </w:r>
      <w:r>
        <w:rPr>
          <w:color w:val="6f7b76"/>
          <w:sz w:val="17"/>
          <w:szCs w:val="17"/>
          <w:u w:color="6f7b76"/>
          <w:rtl w:val="0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60" w:line="240" w:lineRule="auto"/>
        <w:jc w:val="center"/>
      </w:pPr>
    </w:p>
    <w:p>
      <w:pPr>
        <w:pStyle w:val="正文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60" w:line="240" w:lineRule="auto"/>
        <w:jc w:val="center"/>
      </w:pP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72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147a56"/>
                <w:sz w:val="18"/>
                <w:szCs w:val="18"/>
                <w:u w:color="147a56"/>
                <w:rtl w:val="0"/>
                <w:lang w:val="en-US"/>
              </w:rPr>
              <w:t>重要提示｜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"/>
        <w:widowControl w:val="0"/>
        <w:spacing w:after="60" w:line="240" w:lineRule="auto"/>
        <w:jc w:val="center"/>
      </w:pPr>
    </w:p>
    <w:p>
      <w:pPr>
        <w:pStyle w:val="正文"/>
        <w:spacing w:before="12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8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8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20" w:after="60" w:line="240" w:lineRule="auto"/>
        <w:jc w:val="center"/>
      </w:pPr>
    </w:p>
    <w:p>
      <w:pPr>
        <w:pStyle w:val="正文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</w:r>
    </w:p>
    <w:p>
      <w:pPr>
        <w:pStyle w:val="正文"/>
        <w:spacing w:after="40"/>
      </w:pPr>
      <w:r>
        <w:rPr>
          <w:color w:val="6f7b76"/>
          <w:sz w:val="18"/>
          <w:szCs w:val="18"/>
          <w:u w:color="6f7b76"/>
          <w:rtl w:val="0"/>
          <w:lang w:val="en-US"/>
        </w:rPr>
        <w:t xml:space="preserve">LEGAVIK  /  Recovery Map </w:t>
      </w:r>
      <w:r>
        <w:rPr>
          <w:rFonts w:eastAsia="PingFang SC Regular" w:hint="eastAsia"/>
          <w:color w:val="6f7b76"/>
          <w:sz w:val="18"/>
          <w:szCs w:val="18"/>
          <w:u w:color="6f7b76"/>
          <w:rtl w:val="0"/>
          <w:lang w:val="en-US"/>
        </w:rPr>
        <w:t>填写工具</w:t>
      </w:r>
    </w:p>
    <w:p>
      <w:pPr>
        <w:pStyle w:val="正文"/>
        <w:spacing w:after="60"/>
      </w:pPr>
      <w:r>
        <w:rPr>
          <w:b w:val="1"/>
          <w:bCs w:val="1"/>
          <w:color w:val="147a56"/>
          <w:sz w:val="44"/>
          <w:szCs w:val="44"/>
          <w:u w:color="147a56"/>
          <w:rtl w:val="0"/>
        </w:rPr>
        <w:t>C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｜自托管钱包填写页</w:t>
      </w:r>
    </w:p>
    <w:p>
      <w:pPr>
        <w:pStyle w:val="正文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适用于热钱包和冷钱包。记录原设备可用或新设备恢复时的实际操作顺序。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1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钱包名称 </w:t>
            </w:r>
            <w:r>
              <w:rPr>
                <w:b w:val="1"/>
                <w:bCs w:val="1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品牌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钱包类别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钱包使用软件（如需要）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160" w:line="240" w:lineRule="auto"/>
        <w:jc w:val="center"/>
      </w:pPr>
    </w:p>
    <w:p>
      <w:pPr>
        <w:pStyle w:val="正文"/>
        <w:spacing w:before="12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确认结果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钱包恢复条件已准备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关键恢复材料已找到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官方软件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设备来源已确认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目标地址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后续处理方案已确认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before="120" w:after="60" w:line="240" w:lineRule="auto"/>
        <w:jc w:val="center"/>
      </w:pPr>
    </w:p>
    <w:p>
      <w:pPr>
        <w:pStyle w:val="正文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按实际操作顺序填写；不足</w:t>
      </w:r>
      <w:r>
        <w:rPr>
          <w:color w:val="6f7b76"/>
          <w:sz w:val="17"/>
          <w:szCs w:val="17"/>
          <w:u w:color="6f7b76"/>
          <w:rtl w:val="0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60" w:line="240" w:lineRule="auto"/>
        <w:jc w:val="center"/>
      </w:pPr>
    </w:p>
    <w:p>
      <w:pPr>
        <w:pStyle w:val="正文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60" w:line="240" w:lineRule="auto"/>
        <w:jc w:val="center"/>
      </w:pP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72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147a56"/>
                <w:sz w:val="18"/>
                <w:szCs w:val="18"/>
                <w:u w:color="147a56"/>
                <w:rtl w:val="0"/>
                <w:lang w:val="en-US"/>
              </w:rPr>
              <w:t>重要提示｜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"/>
        <w:widowControl w:val="0"/>
        <w:spacing w:after="60" w:line="240" w:lineRule="auto"/>
        <w:jc w:val="center"/>
      </w:pPr>
    </w:p>
    <w:p>
      <w:pPr>
        <w:pStyle w:val="正文"/>
        <w:spacing w:before="12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8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8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20" w:after="60" w:line="240" w:lineRule="auto"/>
        <w:jc w:val="center"/>
      </w:pPr>
    </w:p>
    <w:p>
      <w:pPr>
        <w:pStyle w:val="正文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</w:r>
    </w:p>
    <w:p>
      <w:pPr>
        <w:pStyle w:val="正文"/>
        <w:spacing w:after="40"/>
      </w:pPr>
      <w:r>
        <w:rPr>
          <w:color w:val="6f7b76"/>
          <w:sz w:val="18"/>
          <w:szCs w:val="18"/>
          <w:u w:color="6f7b76"/>
          <w:rtl w:val="0"/>
          <w:lang w:val="en-US"/>
        </w:rPr>
        <w:t xml:space="preserve">LEGAVIK  /  Recovery Map </w:t>
      </w:r>
      <w:r>
        <w:rPr>
          <w:rFonts w:eastAsia="PingFang SC Regular" w:hint="eastAsia"/>
          <w:color w:val="6f7b76"/>
          <w:sz w:val="18"/>
          <w:szCs w:val="18"/>
          <w:u w:color="6f7b76"/>
          <w:rtl w:val="0"/>
          <w:lang w:val="en-US"/>
        </w:rPr>
        <w:t>填写工具</w:t>
      </w:r>
    </w:p>
    <w:p>
      <w:pPr>
        <w:pStyle w:val="正文"/>
        <w:spacing w:after="60"/>
      </w:pPr>
      <w:r>
        <w:rPr>
          <w:b w:val="1"/>
          <w:bCs w:val="1"/>
          <w:color w:val="147a56"/>
          <w:sz w:val="44"/>
          <w:szCs w:val="44"/>
          <w:u w:color="147a56"/>
          <w:rtl w:val="0"/>
        </w:rPr>
        <w:t>D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｜多签钱包填写页</w:t>
      </w:r>
    </w:p>
    <w:p>
      <w:pPr>
        <w:pStyle w:val="正文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记录恢复达到</w:t>
      </w:r>
      <w:r>
        <w:rPr>
          <w:color w:val="6f7b76"/>
          <w:sz w:val="22"/>
          <w:szCs w:val="22"/>
          <w:u w:color="6f7b76"/>
          <w:rtl w:val="0"/>
          <w:lang w:val="da-DK"/>
        </w:rPr>
        <w:t>Threshold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数量的</w:t>
      </w:r>
      <w:r>
        <w:rPr>
          <w:color w:val="6f7b76"/>
          <w:sz w:val="22"/>
          <w:szCs w:val="22"/>
          <w:u w:color="6f7b76"/>
          <w:rtl w:val="0"/>
          <w:lang w:val="da-DK"/>
        </w:rPr>
        <w:t>Signer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，以及后续提案、签名和执行的操作步骤。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1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多签钱包名称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多签地址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8"/>
                <w:szCs w:val="18"/>
                <w:u w:color="22302a"/>
                <w:rtl w:val="0"/>
                <w:lang w:val="en-US"/>
              </w:rPr>
              <w:t>Signer</w:t>
            </w: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数量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8"/>
                <w:szCs w:val="18"/>
                <w:u w:color="22302a"/>
                <w:rtl w:val="0"/>
                <w:lang w:val="en-US"/>
              </w:rPr>
              <w:t>Threshold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160" w:line="240" w:lineRule="auto"/>
        <w:jc w:val="center"/>
      </w:pPr>
    </w:p>
    <w:p>
      <w:pPr>
        <w:pStyle w:val="正文"/>
        <w:spacing w:before="12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确认结果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多签结构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/ Threshold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达到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Threshold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数量的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Signer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可以恢复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各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Signer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关键材料已找到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多签官方入口已确认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before="120" w:after="60" w:line="240" w:lineRule="auto"/>
        <w:jc w:val="center"/>
      </w:pPr>
    </w:p>
    <w:p>
      <w:pPr>
        <w:pStyle w:val="正文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按实际操作顺序填写；不足</w:t>
      </w:r>
      <w:r>
        <w:rPr>
          <w:color w:val="6f7b76"/>
          <w:sz w:val="17"/>
          <w:szCs w:val="17"/>
          <w:u w:color="6f7b76"/>
          <w:rtl w:val="0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60" w:line="240" w:lineRule="auto"/>
        <w:jc w:val="center"/>
      </w:pPr>
    </w:p>
    <w:p>
      <w:pPr>
        <w:pStyle w:val="正文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60" w:line="240" w:lineRule="auto"/>
        <w:jc w:val="center"/>
      </w:pP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72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147a56"/>
                <w:sz w:val="18"/>
                <w:szCs w:val="18"/>
                <w:u w:color="147a56"/>
                <w:rtl w:val="0"/>
                <w:lang w:val="en-US"/>
              </w:rPr>
              <w:t>重要提示｜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"/>
        <w:widowControl w:val="0"/>
        <w:spacing w:after="60" w:line="240" w:lineRule="auto"/>
        <w:jc w:val="center"/>
      </w:pPr>
    </w:p>
    <w:p>
      <w:pPr>
        <w:pStyle w:val="正文"/>
        <w:spacing w:before="12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8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8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20" w:after="60" w:line="240" w:lineRule="auto"/>
        <w:jc w:val="center"/>
      </w:pPr>
      <w:r/>
    </w:p>
    <w:sectPr>
      <w:headerReference w:type="default" r:id="rId4"/>
      <w:footerReference w:type="default" r:id="rId5"/>
      <w:pgSz w:w="12240" w:h="15840" w:orient="portrait"/>
      <w:pgMar w:top="648" w:right="835" w:bottom="648" w:left="835" w:header="259" w:footer="25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ingFang SC Regular">
    <w:charset w:val="00"/>
    <w:family w:val="roman"/>
    <w:pitch w:val="default"/>
  </w:font>
  <w:font w:name="PingFang SC Semibold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color w:val="6f7b76"/>
        <w:sz w:val="16"/>
        <w:szCs w:val="16"/>
        <w:u w:color="6f7b76"/>
        <w:rtl w:val="0"/>
        <w:lang w:val="en-US"/>
      </w:rPr>
      <w:t xml:space="preserve">LEGAVIK  </w:t>
    </w:r>
    <w:r>
      <w:rPr>
        <w:color w:val="6f7b76"/>
        <w:sz w:val="16"/>
        <w:szCs w:val="16"/>
        <w:u w:color="6f7b76"/>
        <w:rtl w:val="0"/>
        <w:lang w:val="en-US"/>
      </w:rPr>
      <w:t xml:space="preserve">·  </w:t>
    </w:r>
    <w:r>
      <w:rPr>
        <w:color w:val="6f7b76"/>
        <w:sz w:val="16"/>
        <w:szCs w:val="16"/>
        <w:u w:color="6f7b76"/>
        <w:rtl w:val="0"/>
        <w:lang w:val="en-US"/>
      </w:rPr>
      <w:t>Recovery Map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  <w:spacing w:after="0"/>
      <w:jc w:val="left"/>
    </w:pPr>
    <w:r/>
    <w:r>
      <w:drawing>
        <wp:inline xmlns:a="http://schemas.openxmlformats.org/drawingml/2006/main" xmlns:pic="http://schemas.openxmlformats.org/drawingml/2006/picture">
          <wp:extent cx="1234440" cy="4114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egavik-brand-master-v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4440" cy="41148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LEGAVIK Module4 恢复与转移步骤 汇总填写模板 Clean Formal V1</dc:title>
  <dc:subject>Digital Asset Recovery Infrastructure</dc:subject>
  <dc:creator>LEGAVIK</dc:creator>
  <cp:lastModifiedBy>LEGAVIK</cp:lastModifiedBy>
  <cp:keywords>LEGAVIK, Digital Asset Recovery &amp; Legacy, Recovery Map</cp:keywords>
</cp:coreProperties>
</file>