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B3A6B"/>
          <w:sz w:val="52"/>
          <w:szCs w:val="52"/>
        </w:rPr>
        <w:t xml:space="preserve">BrightTV Viewership Analytics</w:t>
      </w:r>
    </w:p>
    <w:p>
      <w:pPr>
        <w:spacing w:after="600"/>
        <w:jc w:val="center"/>
      </w:pPr>
      <w:r>
        <w:rPr>
          <w:b/>
          <w:bCs/>
          <w:color w:val="F2994A"/>
          <w:sz w:val="30"/>
          <w:szCs w:val="30"/>
        </w:rPr>
        <w:t xml:space="preserve">Customer Value Management (CVM) Case Study</w:t>
      </w:r>
    </w:p>
    <w:p>
      <w:pPr>
        <w:spacing w:after="120"/>
        <w:jc w:val="center"/>
      </w:pPr>
      <w:r>
        <w:rPr>
          <w:color w:val="2D2D2D"/>
          <w:sz w:val="24"/>
          <w:szCs w:val="24"/>
        </w:rPr>
        <w:t xml:space="preserve">Prepared by: Siyakha Ntuli</w:t>
      </w:r>
    </w:p>
    <w:p>
      <w:pPr>
        <w:spacing w:after="120"/>
        <w:jc w:val="center"/>
      </w:pPr>
      <w:r>
        <w:rPr>
          <w:color w:val="2D2D2D"/>
          <w:sz w:val="24"/>
          <w:szCs w:val="24"/>
        </w:rPr>
        <w:t xml:space="preserve">Date: June 2026</w:t>
      </w:r>
    </w:p>
    <w:p>
      <w:pPr>
        <w:spacing w:after="120"/>
        <w:jc w:val="center"/>
      </w:pPr>
      <w:r>
        <w:rPr>
          <w:color w:val="2D2D2D"/>
          <w:sz w:val="24"/>
          <w:szCs w:val="24"/>
        </w:rPr>
        <w:t xml:space="preserve">Data Period: January – March 2026</w:t>
      </w:r>
    </w:p>
    <w:p>
      <w:pPr>
        <w:jc w:val="center"/>
      </w:pPr>
      <w:r>
        <w:rPr>
          <w:color w:val="2D2D2D"/>
          <w:sz w:val="24"/>
          <w:szCs w:val="24"/>
        </w:rPr>
        <w:t xml:space="preserve">Tool: Databricks SQL | Power BI | Miro | GitHub</w:t>
      </w:r>
    </w:p>
    <w:p>
      <w:r>
        <w:br w:type="page"/>
      </w:r>
    </w:p>
    <w:p>
      <w:pPr>
        <w:pStyle w:val="Heading1"/>
        <w:spacing w:after="200" w:before="400"/>
        <w:rPr>
          <w:b/>
          <w:bCs/>
          <w:color w:val="1B3A6B"/>
          <w:sz w:val="28"/>
          <w:szCs w:val="28"/>
        </w:rPr>
      </w:pPr>
      <w:r>
        <w:t xml:space="preserve">Executive Summary</w:t>
      </w:r>
    </w:p>
    <w:p>
      <w:pPr>
        <w:spacing w:after="100" w:before="100"/>
        <w:jc w:val="both"/>
      </w:pPr>
      <w:r>
        <w:rPr>
          <w:color w:val="2D2D2D"/>
          <w:sz w:val="22"/>
          <w:szCs w:val="22"/>
        </w:rPr>
        <w:t xml:space="preserve">BrightTV is a South African subscription television broadcaster offering multiple channels to its subscriber base. The CEO commissioned this analysis to support the Customer Value Management (CVM) team in growing the company's subscription base for the current financial year.</w:t>
      </w:r>
    </w:p>
    <w:p>
      <w:pPr>
        <w:spacing w:after="100" w:before="100"/>
      </w:pPr>
    </w:p>
    <w:p>
      <w:pPr>
        <w:spacing w:after="100" w:before="100"/>
        <w:jc w:val="both"/>
      </w:pPr>
      <w:r>
        <w:rPr>
          <w:color w:val="2D2D2D"/>
          <w:sz w:val="22"/>
          <w:szCs w:val="22"/>
        </w:rPr>
        <w:t xml:space="preserve">This report analyses viewership data covering January to March 2026, encompassing 10,000 viewing sessions across 4,386 unique subscribers. The analysis reveals that BrightTV's current subscriber base is predominantly male (84.88%), adult (30-59 years), concentrated in Gauteng, and heavily dependent on a single content title — the ICC Cricket World Cup 2011 replay.</w:t>
      </w:r>
    </w:p>
    <w:p>
      <w:pPr>
        <w:spacing w:after="100" w:before="100"/>
      </w:pPr>
    </w:p>
    <w:p>
      <w:pPr>
        <w:spacing w:after="100" w:before="100"/>
        <w:jc w:val="both"/>
      </w:pPr>
      <w:r>
        <w:rPr>
          <w:color w:val="2D2D2D"/>
          <w:sz w:val="22"/>
          <w:szCs w:val="22"/>
        </w:rPr>
        <w:t xml:space="preserve">Despite these concentration risks, the platform demonstrated exceptional growth momentum, recording a 192% increase in total minutes watched from January (16,550 minutes) to March (48,310 minutes). This trajectory presents a significant opportunity to accelerate subscriber growth through targeted demographic campaigns, content diversification and strategic scheduling interventions.</w:t>
      </w:r>
    </w:p>
    <w:p>
      <w:pPr>
        <w:spacing w:after="100" w:before="100"/>
      </w:pPr>
    </w:p>
    <w:p>
      <w:pPr>
        <w:spacing w:after="100" w:before="100"/>
        <w:jc w:val="both"/>
      </w:pPr>
      <w:r>
        <w:rPr>
          <w:color w:val="2D2D2D"/>
          <w:sz w:val="22"/>
          <w:szCs w:val="22"/>
        </w:rPr>
        <w:t xml:space="preserve">The headline message to the CEO is clear: BrightTV has a loyal but narrow subscriber base. The opportunity to double the subscriber base exists by targeting females, teenagers, kids and bottom 3 provinces with the right content, campaigns and partnerships.</w:t>
      </w:r>
    </w:p>
    <w:p>
      <w:r>
        <w:br w:type="page"/>
      </w:r>
    </w:p>
    <w:p>
      <w:pPr>
        <w:pStyle w:val="Heading1"/>
        <w:spacing w:after="200" w:before="400"/>
        <w:rPr>
          <w:b/>
          <w:bCs/>
          <w:color w:val="1B3A6B"/>
          <w:sz w:val="28"/>
          <w:szCs w:val="28"/>
        </w:rPr>
      </w:pPr>
      <w:r>
        <w:t xml:space="preserve">1. Project Overview and Approach</w:t>
      </w:r>
    </w:p>
    <w:p>
      <w:pPr>
        <w:pStyle w:val="Heading2"/>
        <w:spacing w:after="150" w:before="300"/>
        <w:rPr>
          <w:b/>
          <w:bCs/>
          <w:color w:val="1B3A6B"/>
          <w:sz w:val="24"/>
          <w:szCs w:val="24"/>
        </w:rPr>
      </w:pPr>
      <w:r>
        <w:t xml:space="preserve">1.1 Business Context</w:t>
      </w:r>
    </w:p>
    <w:p>
      <w:pPr>
        <w:spacing w:after="100" w:before="100"/>
        <w:jc w:val="both"/>
      </w:pPr>
      <w:r>
        <w:rPr>
          <w:color w:val="2D2D2D"/>
          <w:sz w:val="22"/>
          <w:szCs w:val="22"/>
        </w:rPr>
        <w:t xml:space="preserve">BrightTV is a subscription television broadcaster operating multiple channels in South Africa. The CEO set a clear objective to grow the company's subscription base for this financial year and engaged the data analytics team to provide evidence-based insights to guide the CVM strategy.</w:t>
      </w:r>
    </w:p>
    <w:p>
      <w:pPr>
        <w:spacing w:after="100" w:before="100"/>
      </w:pPr>
    </w:p>
    <w:p>
      <w:pPr>
        <w:pStyle w:val="Heading2"/>
        <w:spacing w:after="150" w:before="300"/>
        <w:rPr>
          <w:b/>
          <w:bCs/>
          <w:color w:val="1B3A6B"/>
          <w:sz w:val="24"/>
          <w:szCs w:val="24"/>
        </w:rPr>
      </w:pPr>
      <w:r>
        <w:t xml:space="preserve">1.2 Business Questions</w:t>
      </w:r>
    </w:p>
    <w:p>
      <w:pPr>
        <w:spacing w:after="100" w:before="100"/>
        <w:jc w:val="both"/>
      </w:pPr>
      <w:r>
        <w:rPr>
          <w:color w:val="2D2D2D"/>
          <w:sz w:val="22"/>
          <w:szCs w:val="22"/>
        </w:rPr>
        <w:t xml:space="preserve">The following four business questions were identified as the analytical mandate for this project:</w:t>
      </w:r>
    </w:p>
    <w:p>
      <w:pPr>
        <w:pStyle w:val="ListParagraph"/>
        <w:numPr>
          <w:ilvl w:val="0"/>
          <w:numId w:val="1"/>
        </w:numPr>
        <w:spacing w:after="60" w:before="60"/>
        <w:ind w:left="720"/>
      </w:pPr>
      <w:r>
        <w:rPr>
          <w:b w:val="false"/>
          <w:bCs w:val="false"/>
          <w:color w:val="2D2D2D"/>
          <w:sz w:val="22"/>
          <w:szCs w:val="22"/>
        </w:rPr>
        <w:t xml:space="preserve">What are the user and usage trends of BrightTV?</w:t>
      </w:r>
    </w:p>
    <w:p>
      <w:pPr>
        <w:pStyle w:val="ListParagraph"/>
        <w:numPr>
          <w:ilvl w:val="0"/>
          <w:numId w:val="1"/>
        </w:numPr>
        <w:spacing w:after="60" w:before="60"/>
        <w:ind w:left="720"/>
      </w:pPr>
      <w:r>
        <w:rPr>
          <w:b w:val="false"/>
          <w:bCs w:val="false"/>
          <w:color w:val="2D2D2D"/>
          <w:sz w:val="22"/>
          <w:szCs w:val="22"/>
        </w:rPr>
        <w:t xml:space="preserve">What factors influence consumption?</w:t>
      </w:r>
    </w:p>
    <w:p>
      <w:pPr>
        <w:pStyle w:val="ListParagraph"/>
        <w:numPr>
          <w:ilvl w:val="0"/>
          <w:numId w:val="1"/>
        </w:numPr>
        <w:spacing w:after="60" w:before="60"/>
        <w:ind w:left="720"/>
      </w:pPr>
      <w:r>
        <w:rPr>
          <w:b w:val="false"/>
          <w:bCs w:val="false"/>
          <w:color w:val="2D2D2D"/>
          <w:sz w:val="22"/>
          <w:szCs w:val="22"/>
        </w:rPr>
        <w:t xml:space="preserve">What content would you recommend to increase consumption on low consumption days?</w:t>
      </w:r>
    </w:p>
    <w:p>
      <w:pPr>
        <w:pStyle w:val="ListParagraph"/>
        <w:numPr>
          <w:ilvl w:val="0"/>
          <w:numId w:val="1"/>
        </w:numPr>
        <w:spacing w:after="60" w:before="60"/>
        <w:ind w:left="720"/>
      </w:pPr>
      <w:r>
        <w:rPr>
          <w:b w:val="false"/>
          <w:bCs w:val="false"/>
          <w:color w:val="2D2D2D"/>
          <w:sz w:val="22"/>
          <w:szCs w:val="22"/>
        </w:rPr>
        <w:t xml:space="preserve">What initiatives would you recommend to grow BrightTV's user base?</w:t>
      </w:r>
    </w:p>
    <w:p>
      <w:pPr>
        <w:spacing w:after="100" w:before="100"/>
      </w:pPr>
    </w:p>
    <w:p>
      <w:pPr>
        <w:pStyle w:val="Heading2"/>
        <w:spacing w:after="150" w:before="300"/>
        <w:rPr>
          <w:b/>
          <w:bCs/>
          <w:color w:val="1B3A6B"/>
          <w:sz w:val="24"/>
          <w:szCs w:val="24"/>
        </w:rPr>
      </w:pPr>
      <w:r>
        <w:t xml:space="preserve">1.3 Analytical Approach</w:t>
      </w:r>
    </w:p>
    <w:p>
      <w:pPr>
        <w:spacing w:after="100" w:before="100"/>
        <w:jc w:val="both"/>
      </w:pPr>
      <w:r>
        <w:rPr>
          <w:color w:val="2D2D2D"/>
          <w:sz w:val="22"/>
          <w:szCs w:val="22"/>
        </w:rPr>
        <w:t xml:space="preserve">The project followed a structured 7-phase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Phase</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Activity</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Tool</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1</w:t>
            </w:r>
          </w:p>
        </w:tc>
        <w:tc>
          <w:tcPr>
            <w:tcW w:type="dxa" w:w="3000"/>
            <w:shd w:fill="F2F2F2" w:val="clear"/>
            <w:tcMar>
              <w:top w:type="dxa" w:w="60"/>
              <w:left w:type="dxa" w:w="100"/>
              <w:bottom w:type="dxa" w:w="60"/>
              <w:right w:type="dxa" w:w="100"/>
            </w:tcMar>
          </w:tcPr>
          <w:p>
            <w:pPr>
              <w:jc w:val="left"/>
            </w:pPr>
            <w:r>
              <w:rPr>
                <w:color w:val="2D2D2D"/>
                <w:sz w:val="20"/>
                <w:szCs w:val="20"/>
              </w:rPr>
              <w:t xml:space="preserve">Business Understanding — define objectives and business questions</w:t>
            </w:r>
          </w:p>
        </w:tc>
        <w:tc>
          <w:tcPr>
            <w:tcW w:type="dxa" w:w="3000"/>
            <w:shd w:fill="F2F2F2" w:val="clear"/>
            <w:tcMar>
              <w:top w:type="dxa" w:w="60"/>
              <w:left w:type="dxa" w:w="100"/>
              <w:bottom w:type="dxa" w:w="60"/>
              <w:right w:type="dxa" w:w="100"/>
            </w:tcMar>
          </w:tcPr>
          <w:p>
            <w:pPr>
              <w:jc w:val="left"/>
            </w:pPr>
            <w:r>
              <w:rPr>
                <w:color w:val="2D2D2D"/>
                <w:sz w:val="20"/>
                <w:szCs w:val="20"/>
              </w:rPr>
              <w:t xml:space="preserve">Case study brief</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2</w:t>
            </w:r>
          </w:p>
        </w:tc>
        <w:tc>
          <w:tcPr>
            <w:tcW w:type="dxa" w:w="3000"/>
            <w:shd w:fill="FFFFFF" w:val="clear"/>
            <w:tcMar>
              <w:top w:type="dxa" w:w="60"/>
              <w:left w:type="dxa" w:w="100"/>
              <w:bottom w:type="dxa" w:w="60"/>
              <w:right w:type="dxa" w:w="100"/>
            </w:tcMar>
          </w:tcPr>
          <w:p>
            <w:pPr>
              <w:jc w:val="left"/>
            </w:pPr>
            <w:r>
              <w:rPr>
                <w:color w:val="2D2D2D"/>
                <w:sz w:val="20"/>
                <w:szCs w:val="20"/>
              </w:rPr>
              <w:t xml:space="preserve">Data Understanding — explore raw tables, identify quality issues</w:t>
            </w:r>
          </w:p>
        </w:tc>
        <w:tc>
          <w:tcPr>
            <w:tcW w:type="dxa" w:w="3000"/>
            <w:shd w:fill="FFFFFF" w:val="clear"/>
            <w:tcMar>
              <w:top w:type="dxa" w:w="60"/>
              <w:left w:type="dxa" w:w="100"/>
              <w:bottom w:type="dxa" w:w="60"/>
              <w:right w:type="dxa" w:w="100"/>
            </w:tcMar>
          </w:tcPr>
          <w:p>
            <w:pPr>
              <w:jc w:val="left"/>
            </w:pPr>
            <w:r>
              <w:rPr>
                <w:color w:val="2D2D2D"/>
                <w:sz w:val="20"/>
                <w:szCs w:val="20"/>
              </w:rPr>
              <w:t xml:space="preserve">Databricks SQL, Excel</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3</w:t>
            </w:r>
          </w:p>
        </w:tc>
        <w:tc>
          <w:tcPr>
            <w:tcW w:type="dxa" w:w="3000"/>
            <w:shd w:fill="F2F2F2" w:val="clear"/>
            <w:tcMar>
              <w:top w:type="dxa" w:w="60"/>
              <w:left w:type="dxa" w:w="100"/>
              <w:bottom w:type="dxa" w:w="60"/>
              <w:right w:type="dxa" w:w="100"/>
            </w:tcMar>
          </w:tcPr>
          <w:p>
            <w:pPr>
              <w:jc w:val="left"/>
            </w:pPr>
            <w:r>
              <w:rPr>
                <w:color w:val="2D2D2D"/>
                <w:sz w:val="20"/>
                <w:szCs w:val="20"/>
              </w:rPr>
              <w:t xml:space="preserve">Data Preparation — clean, transform, build master view</w:t>
            </w:r>
          </w:p>
        </w:tc>
        <w:tc>
          <w:tcPr>
            <w:tcW w:type="dxa" w:w="3000"/>
            <w:shd w:fill="F2F2F2" w:val="clear"/>
            <w:tcMar>
              <w:top w:type="dxa" w:w="60"/>
              <w:left w:type="dxa" w:w="100"/>
              <w:bottom w:type="dxa" w:w="60"/>
              <w:right w:type="dxa" w:w="100"/>
            </w:tcMar>
          </w:tcPr>
          <w:p>
            <w:pPr>
              <w:jc w:val="left"/>
            </w:pPr>
            <w:r>
              <w:rPr>
                <w:color w:val="2D2D2D"/>
                <w:sz w:val="20"/>
                <w:szCs w:val="20"/>
              </w:rPr>
              <w:t xml:space="preserve">Databricks SQL</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4</w:t>
            </w:r>
          </w:p>
        </w:tc>
        <w:tc>
          <w:tcPr>
            <w:tcW w:type="dxa" w:w="3000"/>
            <w:shd w:fill="FFFFFF" w:val="clear"/>
            <w:tcMar>
              <w:top w:type="dxa" w:w="60"/>
              <w:left w:type="dxa" w:w="100"/>
              <w:bottom w:type="dxa" w:w="60"/>
              <w:right w:type="dxa" w:w="100"/>
            </w:tcMar>
          </w:tcPr>
          <w:p>
            <w:pPr>
              <w:jc w:val="left"/>
            </w:pPr>
            <w:r>
              <w:rPr>
                <w:color w:val="2D2D2D"/>
                <w:sz w:val="20"/>
                <w:szCs w:val="20"/>
              </w:rPr>
              <w:t xml:space="preserve">Analysis — 12 analytical queries across user, usage and content dimensions</w:t>
            </w:r>
          </w:p>
        </w:tc>
        <w:tc>
          <w:tcPr>
            <w:tcW w:type="dxa" w:w="3000"/>
            <w:shd w:fill="FFFFFF" w:val="clear"/>
            <w:tcMar>
              <w:top w:type="dxa" w:w="60"/>
              <w:left w:type="dxa" w:w="100"/>
              <w:bottom w:type="dxa" w:w="60"/>
              <w:right w:type="dxa" w:w="100"/>
            </w:tcMar>
          </w:tcPr>
          <w:p>
            <w:pPr>
              <w:jc w:val="left"/>
            </w:pPr>
            <w:r>
              <w:rPr>
                <w:color w:val="2D2D2D"/>
                <w:sz w:val="20"/>
                <w:szCs w:val="20"/>
              </w:rPr>
              <w:t xml:space="preserve">Databricks SQL</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5</w:t>
            </w:r>
          </w:p>
        </w:tc>
        <w:tc>
          <w:tcPr>
            <w:tcW w:type="dxa" w:w="3000"/>
            <w:shd w:fill="F2F2F2" w:val="clear"/>
            <w:tcMar>
              <w:top w:type="dxa" w:w="60"/>
              <w:left w:type="dxa" w:w="100"/>
              <w:bottom w:type="dxa" w:w="60"/>
              <w:right w:type="dxa" w:w="100"/>
            </w:tcMar>
          </w:tcPr>
          <w:p>
            <w:pPr>
              <w:jc w:val="left"/>
            </w:pPr>
            <w:r>
              <w:rPr>
                <w:color w:val="2D2D2D"/>
                <w:sz w:val="20"/>
                <w:szCs w:val="20"/>
              </w:rPr>
              <w:t xml:space="preserve">Visualisation — 3 themed dashboard pages</w:t>
            </w:r>
          </w:p>
        </w:tc>
        <w:tc>
          <w:tcPr>
            <w:tcW w:type="dxa" w:w="3000"/>
            <w:shd w:fill="F2F2F2" w:val="clear"/>
            <w:tcMar>
              <w:top w:type="dxa" w:w="60"/>
              <w:left w:type="dxa" w:w="100"/>
              <w:bottom w:type="dxa" w:w="60"/>
              <w:right w:type="dxa" w:w="100"/>
            </w:tcMar>
          </w:tcPr>
          <w:p>
            <w:pPr>
              <w:jc w:val="left"/>
            </w:pPr>
            <w:r>
              <w:rPr>
                <w:color w:val="2D2D2D"/>
                <w:sz w:val="20"/>
                <w:szCs w:val="20"/>
              </w:rPr>
              <w:t xml:space="preserve">Databricks Dashboards</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6</w:t>
            </w:r>
          </w:p>
        </w:tc>
        <w:tc>
          <w:tcPr>
            <w:tcW w:type="dxa" w:w="3000"/>
            <w:shd w:fill="FFFFFF" w:val="clear"/>
            <w:tcMar>
              <w:top w:type="dxa" w:w="60"/>
              <w:left w:type="dxa" w:w="100"/>
              <w:bottom w:type="dxa" w:w="60"/>
              <w:right w:type="dxa" w:w="100"/>
            </w:tcMar>
          </w:tcPr>
          <w:p>
            <w:pPr>
              <w:jc w:val="left"/>
            </w:pPr>
            <w:r>
              <w:rPr>
                <w:color w:val="2D2D2D"/>
                <w:sz w:val="20"/>
                <w:szCs w:val="20"/>
              </w:rPr>
              <w:t xml:space="preserve">Insights and Recommendations — answer all 4 business questions</w:t>
            </w:r>
          </w:p>
        </w:tc>
        <w:tc>
          <w:tcPr>
            <w:tcW w:type="dxa" w:w="3000"/>
            <w:shd w:fill="FFFFFF" w:val="clear"/>
            <w:tcMar>
              <w:top w:type="dxa" w:w="60"/>
              <w:left w:type="dxa" w:w="100"/>
              <w:bottom w:type="dxa" w:w="60"/>
              <w:right w:type="dxa" w:w="100"/>
            </w:tcMar>
          </w:tcPr>
          <w:p>
            <w:pPr>
              <w:jc w:val="left"/>
            </w:pPr>
            <w:r>
              <w:rPr>
                <w:color w:val="2D2D2D"/>
                <w:sz w:val="20"/>
                <w:szCs w:val="20"/>
              </w:rPr>
              <w:t xml:space="preserve">Word Document</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7</w:t>
            </w:r>
          </w:p>
        </w:tc>
        <w:tc>
          <w:tcPr>
            <w:tcW w:type="dxa" w:w="3000"/>
            <w:shd w:fill="F2F2F2" w:val="clear"/>
            <w:tcMar>
              <w:top w:type="dxa" w:w="60"/>
              <w:left w:type="dxa" w:w="100"/>
              <w:bottom w:type="dxa" w:w="60"/>
              <w:right w:type="dxa" w:w="100"/>
            </w:tcMar>
          </w:tcPr>
          <w:p>
            <w:pPr>
              <w:jc w:val="left"/>
            </w:pPr>
            <w:r>
              <w:rPr>
                <w:color w:val="2D2D2D"/>
                <w:sz w:val="20"/>
                <w:szCs w:val="20"/>
              </w:rPr>
              <w:t xml:space="preserve">Presentation — deliver findings to CEO</w:t>
            </w:r>
          </w:p>
        </w:tc>
        <w:tc>
          <w:tcPr>
            <w:tcW w:type="dxa" w:w="3000"/>
            <w:shd w:fill="F2F2F2" w:val="clear"/>
            <w:tcMar>
              <w:top w:type="dxa" w:w="60"/>
              <w:left w:type="dxa" w:w="100"/>
              <w:bottom w:type="dxa" w:w="60"/>
              <w:right w:type="dxa" w:w="100"/>
            </w:tcMar>
          </w:tcPr>
          <w:p>
            <w:pPr>
              <w:jc w:val="left"/>
            </w:pPr>
            <w:r>
              <w:rPr>
                <w:color w:val="2D2D2D"/>
                <w:sz w:val="20"/>
                <w:szCs w:val="20"/>
              </w:rPr>
              <w:t xml:space="preserve">Dashboard + Report</w:t>
            </w:r>
          </w:p>
        </w:tc>
      </w:tr>
    </w:tbl>
    <w:p>
      <w:pPr>
        <w:spacing w:after="100" w:before="100"/>
      </w:pPr>
    </w:p>
    <w:p>
      <w:pPr>
        <w:pStyle w:val="Heading2"/>
        <w:spacing w:after="150" w:before="300"/>
        <w:rPr>
          <w:b/>
          <w:bCs/>
          <w:color w:val="1B3A6B"/>
          <w:sz w:val="24"/>
          <w:szCs w:val="24"/>
        </w:rPr>
      </w:pPr>
      <w:r>
        <w:t xml:space="preserve">1.4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6B" w:val="clear"/>
            <w:tcMar>
              <w:top w:type="dxa" w:w="80"/>
              <w:left w:type="dxa" w:w="100"/>
              <w:bottom w:type="dxa" w:w="80"/>
              <w:right w:type="dxa" w:w="100"/>
            </w:tcMar>
          </w:tcPr>
          <w:p>
            <w:pPr>
              <w:jc w:val="center"/>
            </w:pPr>
            <w:r>
              <w:rPr>
                <w:b/>
                <w:bCs/>
                <w:color w:val="FFFFFF"/>
                <w:sz w:val="20"/>
                <w:szCs w:val="20"/>
              </w:rPr>
              <w:t xml:space="preserve">Tool</w:t>
            </w:r>
          </w:p>
        </w:tc>
        <w:tc>
          <w:tcPr>
            <w:tcW w:type="dxa" w:w="4500"/>
            <w:shd w:fill="1B3A6B" w:val="clear"/>
            <w:tcMar>
              <w:top w:type="dxa" w:w="80"/>
              <w:left w:type="dxa" w:w="100"/>
              <w:bottom w:type="dxa" w:w="80"/>
              <w:right w:type="dxa" w:w="100"/>
            </w:tcMar>
          </w:tcPr>
          <w:p>
            <w:pPr>
              <w:jc w:val="center"/>
            </w:pPr>
            <w:r>
              <w:rPr>
                <w:b/>
                <w:bCs/>
                <w:color w:val="FFFFFF"/>
                <w:sz w:val="20"/>
                <w:szCs w:val="20"/>
              </w:rPr>
              <w:t xml:space="preserve">Purpose</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Databricks SQL</w:t>
            </w:r>
          </w:p>
        </w:tc>
        <w:tc>
          <w:tcPr>
            <w:tcW w:type="dxa" w:w="4500"/>
            <w:shd w:fill="F2F2F2" w:val="clear"/>
            <w:tcMar>
              <w:top w:type="dxa" w:w="60"/>
              <w:left w:type="dxa" w:w="100"/>
              <w:bottom w:type="dxa" w:w="60"/>
              <w:right w:type="dxa" w:w="100"/>
            </w:tcMar>
          </w:tcPr>
          <w:p>
            <w:pPr>
              <w:jc w:val="left"/>
            </w:pPr>
            <w:r>
              <w:rPr>
                <w:color w:val="2D2D2D"/>
                <w:sz w:val="20"/>
                <w:szCs w:val="20"/>
              </w:rPr>
              <w:t xml:space="preserve">Data cleaning, transformation, analysis and visualisation</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Microsoft Excel</w:t>
            </w:r>
          </w:p>
        </w:tc>
        <w:tc>
          <w:tcPr>
            <w:tcW w:type="dxa" w:w="4500"/>
            <w:shd w:fill="FFFFFF" w:val="clear"/>
            <w:tcMar>
              <w:top w:type="dxa" w:w="60"/>
              <w:left w:type="dxa" w:w="100"/>
              <w:bottom w:type="dxa" w:w="60"/>
              <w:right w:type="dxa" w:w="100"/>
            </w:tcMar>
          </w:tcPr>
          <w:p>
            <w:pPr>
              <w:jc w:val="left"/>
            </w:pPr>
            <w:r>
              <w:rPr>
                <w:color w:val="2D2D2D"/>
                <w:sz w:val="20"/>
                <w:szCs w:val="20"/>
              </w:rPr>
              <w:t xml:space="preserve">Initial data exploration and CSV export</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Miro</w:t>
            </w:r>
          </w:p>
        </w:tc>
        <w:tc>
          <w:tcPr>
            <w:tcW w:type="dxa" w:w="4500"/>
            <w:shd w:fill="F2F2F2" w:val="clear"/>
            <w:tcMar>
              <w:top w:type="dxa" w:w="60"/>
              <w:left w:type="dxa" w:w="100"/>
              <w:bottom w:type="dxa" w:w="60"/>
              <w:right w:type="dxa" w:w="100"/>
            </w:tcMar>
          </w:tcPr>
          <w:p>
            <w:pPr>
              <w:jc w:val="left"/>
            </w:pPr>
            <w:r>
              <w:rPr>
                <w:color w:val="2D2D2D"/>
                <w:sz w:val="20"/>
                <w:szCs w:val="20"/>
              </w:rPr>
              <w:t xml:space="preserve">Project planning and flow diagram</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GitHub</w:t>
            </w:r>
          </w:p>
        </w:tc>
        <w:tc>
          <w:tcPr>
            <w:tcW w:type="dxa" w:w="4500"/>
            <w:shd w:fill="FFFFFF" w:val="clear"/>
            <w:tcMar>
              <w:top w:type="dxa" w:w="60"/>
              <w:left w:type="dxa" w:w="100"/>
              <w:bottom w:type="dxa" w:w="60"/>
              <w:right w:type="dxa" w:w="100"/>
            </w:tcMar>
          </w:tcPr>
          <w:p>
            <w:pPr>
              <w:jc w:val="left"/>
            </w:pPr>
            <w:r>
              <w:rPr>
                <w:color w:val="2D2D2D"/>
                <w:sz w:val="20"/>
                <w:szCs w:val="20"/>
              </w:rPr>
              <w:t xml:space="preserve">Version control and portfolio management</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Microsoft Word</w:t>
            </w:r>
          </w:p>
        </w:tc>
        <w:tc>
          <w:tcPr>
            <w:tcW w:type="dxa" w:w="4500"/>
            <w:shd w:fill="F2F2F2" w:val="clear"/>
            <w:tcMar>
              <w:top w:type="dxa" w:w="60"/>
              <w:left w:type="dxa" w:w="100"/>
              <w:bottom w:type="dxa" w:w="60"/>
              <w:right w:type="dxa" w:w="100"/>
            </w:tcMar>
          </w:tcPr>
          <w:p>
            <w:pPr>
              <w:jc w:val="left"/>
            </w:pPr>
            <w:r>
              <w:rPr>
                <w:color w:val="2D2D2D"/>
                <w:sz w:val="20"/>
                <w:szCs w:val="20"/>
              </w:rPr>
              <w:t xml:space="preserve">Findings documentation and delivery</w:t>
            </w:r>
          </w:p>
        </w:tc>
      </w:tr>
    </w:tbl>
    <w:p>
      <w:r>
        <w:br w:type="page"/>
      </w:r>
    </w:p>
    <w:p>
      <w:pPr>
        <w:pStyle w:val="Heading1"/>
        <w:spacing w:after="200" w:before="400"/>
        <w:rPr>
          <w:b/>
          <w:bCs/>
          <w:color w:val="1B3A6B"/>
          <w:sz w:val="28"/>
          <w:szCs w:val="28"/>
        </w:rPr>
      </w:pPr>
      <w:r>
        <w:t xml:space="preserve">2. Data Overview and Cleaning Decisions</w:t>
      </w:r>
    </w:p>
    <w:p>
      <w:pPr>
        <w:pStyle w:val="Heading2"/>
        <w:spacing w:after="150" w:before="300"/>
        <w:rPr>
          <w:b/>
          <w:bCs/>
          <w:color w:val="1B3A6B"/>
          <w:sz w:val="24"/>
          <w:szCs w:val="24"/>
        </w:rPr>
      </w:pPr>
      <w:r>
        <w:t xml:space="preserve">2.1 Data Sources</w:t>
      </w:r>
    </w:p>
    <w:p>
      <w:pPr>
        <w:spacing w:after="100" w:before="100"/>
        <w:jc w:val="both"/>
      </w:pPr>
      <w:r>
        <w:rPr>
          <w:color w:val="2D2D2D"/>
          <w:sz w:val="22"/>
          <w:szCs w:val="22"/>
        </w:rPr>
        <w:t xml:space="preserve">Two raw tables were provided in Excel format and uploaded to Databricks:</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B3A6B" w:val="clear"/>
            <w:tcMar>
              <w:top w:type="dxa" w:w="80"/>
              <w:left w:type="dxa" w:w="100"/>
              <w:bottom w:type="dxa" w:w="80"/>
              <w:right w:type="dxa" w:w="100"/>
            </w:tcMar>
          </w:tcPr>
          <w:p>
            <w:pPr>
              <w:jc w:val="center"/>
            </w:pPr>
            <w:r>
              <w:rPr>
                <w:b/>
                <w:bCs/>
                <w:color w:val="FFFFFF"/>
                <w:sz w:val="20"/>
                <w:szCs w:val="20"/>
              </w:rPr>
              <w:t xml:space="preserve">Table</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Rows</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Key Columns</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Purpose</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bright_tv_user_profile</w:t>
            </w:r>
          </w:p>
        </w:tc>
        <w:tc>
          <w:tcPr>
            <w:tcW w:type="dxa" w:w="2250"/>
            <w:shd w:fill="F2F2F2" w:val="clear"/>
            <w:tcMar>
              <w:top w:type="dxa" w:w="60"/>
              <w:left w:type="dxa" w:w="100"/>
              <w:bottom w:type="dxa" w:w="60"/>
              <w:right w:type="dxa" w:w="100"/>
            </w:tcMar>
          </w:tcPr>
          <w:p>
            <w:pPr>
              <w:jc w:val="left"/>
            </w:pPr>
            <w:r>
              <w:rPr>
                <w:color w:val="2D2D2D"/>
                <w:sz w:val="20"/>
                <w:szCs w:val="20"/>
              </w:rPr>
              <w:t xml:space="preserve">5,376</w:t>
            </w:r>
          </w:p>
        </w:tc>
        <w:tc>
          <w:tcPr>
            <w:tcW w:type="dxa" w:w="2250"/>
            <w:shd w:fill="F2F2F2" w:val="clear"/>
            <w:tcMar>
              <w:top w:type="dxa" w:w="60"/>
              <w:left w:type="dxa" w:w="100"/>
              <w:bottom w:type="dxa" w:w="60"/>
              <w:right w:type="dxa" w:w="100"/>
            </w:tcMar>
          </w:tcPr>
          <w:p>
            <w:pPr>
              <w:jc w:val="left"/>
            </w:pPr>
            <w:r>
              <w:rPr>
                <w:color w:val="2D2D2D"/>
                <w:sz w:val="20"/>
                <w:szCs w:val="20"/>
              </w:rPr>
              <w:t xml:space="preserve">UserID, Name, Surname, Email, Gender, Race, Age, Province, Social Media Handle</w:t>
            </w:r>
          </w:p>
        </w:tc>
        <w:tc>
          <w:tcPr>
            <w:tcW w:type="dxa" w:w="2250"/>
            <w:shd w:fill="F2F2F2" w:val="clear"/>
            <w:tcMar>
              <w:top w:type="dxa" w:w="60"/>
              <w:left w:type="dxa" w:w="100"/>
              <w:bottom w:type="dxa" w:w="60"/>
              <w:right w:type="dxa" w:w="100"/>
            </w:tcMar>
          </w:tcPr>
          <w:p>
            <w:pPr>
              <w:jc w:val="left"/>
            </w:pPr>
            <w:r>
              <w:rPr>
                <w:color w:val="2D2D2D"/>
                <w:sz w:val="20"/>
                <w:szCs w:val="20"/>
              </w:rPr>
              <w:t xml:space="preserve">Subscriber demographics</w:t>
            </w:r>
          </w:p>
        </w:tc>
      </w:tr>
      <w:tr>
        <w:tc>
          <w:tcPr>
            <w:tcW w:type="dxa" w:w="2250"/>
            <w:shd w:fill="FFFFFF" w:val="clear"/>
            <w:tcMar>
              <w:top w:type="dxa" w:w="60"/>
              <w:left w:type="dxa" w:w="100"/>
              <w:bottom w:type="dxa" w:w="60"/>
              <w:right w:type="dxa" w:w="100"/>
            </w:tcMar>
          </w:tcPr>
          <w:p>
            <w:pPr>
              <w:jc w:val="left"/>
            </w:pPr>
            <w:r>
              <w:rPr>
                <w:color w:val="2D2D2D"/>
                <w:sz w:val="20"/>
                <w:szCs w:val="20"/>
              </w:rPr>
              <w:t xml:space="preserve">bright_tv_viewership</w:t>
            </w:r>
          </w:p>
        </w:tc>
        <w:tc>
          <w:tcPr>
            <w:tcW w:type="dxa" w:w="2250"/>
            <w:shd w:fill="FFFFFF" w:val="clear"/>
            <w:tcMar>
              <w:top w:type="dxa" w:w="60"/>
              <w:left w:type="dxa" w:w="100"/>
              <w:bottom w:type="dxa" w:w="60"/>
              <w:right w:type="dxa" w:w="100"/>
            </w:tcMar>
          </w:tcPr>
          <w:p>
            <w:pPr>
              <w:jc w:val="left"/>
            </w:pPr>
            <w:r>
              <w:rPr>
                <w:color w:val="2D2D2D"/>
                <w:sz w:val="20"/>
                <w:szCs w:val="20"/>
              </w:rPr>
              <w:t xml:space="preserve">10,001</w:t>
            </w:r>
          </w:p>
        </w:tc>
        <w:tc>
          <w:tcPr>
            <w:tcW w:type="dxa" w:w="2250"/>
            <w:shd w:fill="FFFFFF" w:val="clear"/>
            <w:tcMar>
              <w:top w:type="dxa" w:w="60"/>
              <w:left w:type="dxa" w:w="100"/>
              <w:bottom w:type="dxa" w:w="60"/>
              <w:right w:type="dxa" w:w="100"/>
            </w:tcMar>
          </w:tcPr>
          <w:p>
            <w:pPr>
              <w:jc w:val="left"/>
            </w:pPr>
            <w:r>
              <w:rPr>
                <w:color w:val="2D2D2D"/>
                <w:sz w:val="20"/>
                <w:szCs w:val="20"/>
              </w:rPr>
              <w:t xml:space="preserve">UserID (duplicated), Channel2, RecordDate2, Duration 2</w:t>
            </w:r>
          </w:p>
        </w:tc>
        <w:tc>
          <w:tcPr>
            <w:tcW w:type="dxa" w:w="2250"/>
            <w:shd w:fill="FFFFFF" w:val="clear"/>
            <w:tcMar>
              <w:top w:type="dxa" w:w="60"/>
              <w:left w:type="dxa" w:w="100"/>
              <w:bottom w:type="dxa" w:w="60"/>
              <w:right w:type="dxa" w:w="100"/>
            </w:tcMar>
          </w:tcPr>
          <w:p>
            <w:pPr>
              <w:jc w:val="left"/>
            </w:pPr>
            <w:r>
              <w:rPr>
                <w:color w:val="2D2D2D"/>
                <w:sz w:val="20"/>
                <w:szCs w:val="20"/>
              </w:rPr>
              <w:t xml:space="preserve">Viewing session transactions</w:t>
            </w:r>
          </w:p>
        </w:tc>
      </w:tr>
    </w:tbl>
    <w:p>
      <w:pPr>
        <w:spacing w:after="100" w:before="100"/>
      </w:pPr>
    </w:p>
    <w:p>
      <w:pPr>
        <w:spacing w:after="100" w:before="100"/>
        <w:jc w:val="both"/>
      </w:pPr>
      <w:r>
        <w:rPr>
          <w:color w:val="2D2D2D"/>
          <w:sz w:val="22"/>
          <w:szCs w:val="22"/>
        </w:rPr>
        <w:t xml:space="preserve">The viewership table acts as the fact table (one row per viewing session) and the user profile table acts as the dimension table (descriptive attributes about subscribers). A LEFT JOIN was used to connect the two tables on UserID, preserving all 10,000 viewing sessions including those from ghost profiles. After joining, 10,000 records were returned with 1 unmatched record noted as a minor data quality observation.</w:t>
      </w:r>
    </w:p>
    <w:p>
      <w:pPr>
        <w:spacing w:after="100" w:before="100"/>
      </w:pPr>
    </w:p>
    <w:p>
      <w:pPr>
        <w:pStyle w:val="Heading2"/>
        <w:spacing w:after="150" w:before="300"/>
        <w:rPr>
          <w:b/>
          <w:bCs/>
          <w:color w:val="1B3A6B"/>
          <w:sz w:val="24"/>
          <w:szCs w:val="24"/>
        </w:rPr>
      </w:pPr>
      <w:r>
        <w:t xml:space="preserve">2.2 Data Quality Issues and Resolutions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Issue Identified</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Decision</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Rationale</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Ghost profiles (no name/surname)</w:t>
            </w:r>
          </w:p>
        </w:tc>
        <w:tc>
          <w:tcPr>
            <w:tcW w:type="dxa" w:w="3000"/>
            <w:shd w:fill="F2F2F2" w:val="clear"/>
            <w:tcMar>
              <w:top w:type="dxa" w:w="60"/>
              <w:left w:type="dxa" w:w="100"/>
              <w:bottom w:type="dxa" w:w="60"/>
              <w:right w:type="dxa" w:w="100"/>
            </w:tcMar>
          </w:tcPr>
          <w:p>
            <w:pPr>
              <w:jc w:val="left"/>
            </w:pPr>
            <w:r>
              <w:rPr>
                <w:color w:val="2D2D2D"/>
                <w:sz w:val="20"/>
                <w:szCs w:val="20"/>
              </w:rPr>
              <w:t xml:space="preserve">Soft excluded</w:t>
            </w:r>
          </w:p>
        </w:tc>
        <w:tc>
          <w:tcPr>
            <w:tcW w:type="dxa" w:w="3000"/>
            <w:shd w:fill="F2F2F2" w:val="clear"/>
            <w:tcMar>
              <w:top w:type="dxa" w:w="60"/>
              <w:left w:type="dxa" w:w="100"/>
              <w:bottom w:type="dxa" w:w="60"/>
              <w:right w:type="dxa" w:w="100"/>
            </w:tcMar>
          </w:tcPr>
          <w:p>
            <w:pPr>
              <w:jc w:val="left"/>
            </w:pPr>
            <w:r>
              <w:rPr>
                <w:color w:val="2D2D2D"/>
                <w:sz w:val="20"/>
                <w:szCs w:val="20"/>
              </w:rPr>
              <w:t xml:space="preserve">Kept for consumption analysis, excluded from demographic breakdowns. Their viewing activity is real and should not be discarded.</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Duplicate UserID column in viewership</w:t>
            </w:r>
          </w:p>
        </w:tc>
        <w:tc>
          <w:tcPr>
            <w:tcW w:type="dxa" w:w="3000"/>
            <w:shd w:fill="FFFFFF" w:val="clear"/>
            <w:tcMar>
              <w:top w:type="dxa" w:w="60"/>
              <w:left w:type="dxa" w:w="100"/>
              <w:bottom w:type="dxa" w:w="60"/>
              <w:right w:type="dxa" w:w="100"/>
            </w:tcMar>
          </w:tcPr>
          <w:p>
            <w:pPr>
              <w:jc w:val="left"/>
            </w:pPr>
            <w:r>
              <w:rPr>
                <w:color w:val="2D2D2D"/>
                <w:sz w:val="20"/>
                <w:szCs w:val="20"/>
              </w:rPr>
              <w:t xml:space="preserve">One column dropped</w:t>
            </w:r>
          </w:p>
        </w:tc>
        <w:tc>
          <w:tcPr>
            <w:tcW w:type="dxa" w:w="3000"/>
            <w:shd w:fill="FFFFFF" w:val="clear"/>
            <w:tcMar>
              <w:top w:type="dxa" w:w="60"/>
              <w:left w:type="dxa" w:w="100"/>
              <w:bottom w:type="dxa" w:w="60"/>
              <w:right w:type="dxa" w:w="100"/>
            </w:tcMar>
          </w:tcPr>
          <w:p>
            <w:pPr>
              <w:jc w:val="left"/>
            </w:pPr>
            <w:r>
              <w:rPr>
                <w:color w:val="2D2D2D"/>
                <w:sz w:val="20"/>
                <w:szCs w:val="20"/>
              </w:rPr>
              <w:t xml:space="preserve">Both columns were identical — redundant field removed</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RecordDate stored in UTC</w:t>
            </w:r>
          </w:p>
        </w:tc>
        <w:tc>
          <w:tcPr>
            <w:tcW w:type="dxa" w:w="3000"/>
            <w:shd w:fill="F2F2F2" w:val="clear"/>
            <w:tcMar>
              <w:top w:type="dxa" w:w="60"/>
              <w:left w:type="dxa" w:w="100"/>
              <w:bottom w:type="dxa" w:w="60"/>
              <w:right w:type="dxa" w:w="100"/>
            </w:tcMar>
          </w:tcPr>
          <w:p>
            <w:pPr>
              <w:jc w:val="left"/>
            </w:pPr>
            <w:r>
              <w:rPr>
                <w:color w:val="2D2D2D"/>
                <w:sz w:val="20"/>
                <w:szCs w:val="20"/>
              </w:rPr>
              <w:t xml:space="preserve">Converted to UTC+2 (SA Standard Time)</w:t>
            </w:r>
          </w:p>
        </w:tc>
        <w:tc>
          <w:tcPr>
            <w:tcW w:type="dxa" w:w="3000"/>
            <w:shd w:fill="F2F2F2" w:val="clear"/>
            <w:tcMar>
              <w:top w:type="dxa" w:w="60"/>
              <w:left w:type="dxa" w:w="100"/>
              <w:bottom w:type="dxa" w:w="60"/>
              <w:right w:type="dxa" w:w="100"/>
            </w:tcMar>
          </w:tcPr>
          <w:p>
            <w:pPr>
              <w:jc w:val="left"/>
            </w:pPr>
            <w:r>
              <w:rPr>
                <w:color w:val="2D2D2D"/>
                <w:sz w:val="20"/>
                <w:szCs w:val="20"/>
              </w:rPr>
              <w:t xml:space="preserve">SA does not observe daylight saving — flat +2 hour offset applied year-round using DATEADD function</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Duration stored as timestamp format</w:t>
            </w:r>
          </w:p>
        </w:tc>
        <w:tc>
          <w:tcPr>
            <w:tcW w:type="dxa" w:w="3000"/>
            <w:shd w:fill="FFFFFF" w:val="clear"/>
            <w:tcMar>
              <w:top w:type="dxa" w:w="60"/>
              <w:left w:type="dxa" w:w="100"/>
              <w:bottom w:type="dxa" w:w="60"/>
              <w:right w:type="dxa" w:w="100"/>
            </w:tcMar>
          </w:tcPr>
          <w:p>
            <w:pPr>
              <w:jc w:val="left"/>
            </w:pPr>
            <w:r>
              <w:rPr>
                <w:color w:val="2D2D2D"/>
                <w:sz w:val="20"/>
                <w:szCs w:val="20"/>
              </w:rPr>
              <w:t xml:space="preserve">Converted to total minutes</w:t>
            </w:r>
          </w:p>
        </w:tc>
        <w:tc>
          <w:tcPr>
            <w:tcW w:type="dxa" w:w="3000"/>
            <w:shd w:fill="FFFFFF" w:val="clear"/>
            <w:tcMar>
              <w:top w:type="dxa" w:w="60"/>
              <w:left w:type="dxa" w:w="100"/>
              <w:bottom w:type="dxa" w:w="60"/>
              <w:right w:type="dxa" w:w="100"/>
            </w:tcMar>
          </w:tcPr>
          <w:p>
            <w:pPr>
              <w:jc w:val="left"/>
            </w:pPr>
            <w:r>
              <w:rPr>
                <w:color w:val="2D2D2D"/>
                <w:sz w:val="20"/>
                <w:szCs w:val="20"/>
              </w:rPr>
              <w:t xml:space="preserve">Required for SUM and AVG aggregation calculations</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Age = 0 entries</w:t>
            </w:r>
          </w:p>
        </w:tc>
        <w:tc>
          <w:tcPr>
            <w:tcW w:type="dxa" w:w="3000"/>
            <w:shd w:fill="F2F2F2" w:val="clear"/>
            <w:tcMar>
              <w:top w:type="dxa" w:w="60"/>
              <w:left w:type="dxa" w:w="100"/>
              <w:bottom w:type="dxa" w:w="60"/>
              <w:right w:type="dxa" w:w="100"/>
            </w:tcMar>
          </w:tcPr>
          <w:p>
            <w:pPr>
              <w:jc w:val="left"/>
            </w:pPr>
            <w:r>
              <w:rPr>
                <w:color w:val="2D2D2D"/>
                <w:sz w:val="20"/>
                <w:szCs w:val="20"/>
              </w:rPr>
              <w:t xml:space="preserve">Flagged as Unknown Age</w:t>
            </w:r>
          </w:p>
        </w:tc>
        <w:tc>
          <w:tcPr>
            <w:tcW w:type="dxa" w:w="3000"/>
            <w:shd w:fill="F2F2F2" w:val="clear"/>
            <w:tcMar>
              <w:top w:type="dxa" w:w="60"/>
              <w:left w:type="dxa" w:w="100"/>
              <w:bottom w:type="dxa" w:w="60"/>
              <w:right w:type="dxa" w:w="100"/>
            </w:tcMar>
          </w:tcPr>
          <w:p>
            <w:pPr>
              <w:jc w:val="left"/>
            </w:pPr>
            <w:r>
              <w:rPr>
                <w:color w:val="2D2D2D"/>
                <w:sz w:val="20"/>
                <w:szCs w:val="20"/>
              </w:rPr>
              <w:t xml:space="preserve">No demographic value — retained for consumption analysis</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Province = None or NULL</w:t>
            </w:r>
          </w:p>
        </w:tc>
        <w:tc>
          <w:tcPr>
            <w:tcW w:type="dxa" w:w="3000"/>
            <w:shd w:fill="FFFFFF" w:val="clear"/>
            <w:tcMar>
              <w:top w:type="dxa" w:w="60"/>
              <w:left w:type="dxa" w:w="100"/>
              <w:bottom w:type="dxa" w:w="60"/>
              <w:right w:type="dxa" w:w="100"/>
            </w:tcMar>
          </w:tcPr>
          <w:p>
            <w:pPr>
              <w:jc w:val="left"/>
            </w:pPr>
            <w:r>
              <w:rPr>
                <w:color w:val="2D2D2D"/>
                <w:sz w:val="20"/>
                <w:szCs w:val="20"/>
              </w:rPr>
              <w:t xml:space="preserve">Flagged as Unknown Province</w:t>
            </w:r>
          </w:p>
        </w:tc>
        <w:tc>
          <w:tcPr>
            <w:tcW w:type="dxa" w:w="3000"/>
            <w:shd w:fill="FFFFFF" w:val="clear"/>
            <w:tcMar>
              <w:top w:type="dxa" w:w="60"/>
              <w:left w:type="dxa" w:w="100"/>
              <w:bottom w:type="dxa" w:w="60"/>
              <w:right w:type="dxa" w:w="100"/>
            </w:tcMar>
          </w:tcPr>
          <w:p>
            <w:pPr>
              <w:jc w:val="left"/>
            </w:pPr>
            <w:r>
              <w:rPr>
                <w:color w:val="2D2D2D"/>
                <w:sz w:val="20"/>
                <w:szCs w:val="20"/>
              </w:rPr>
              <w:t xml:space="preserve">Ghost profile indicator — retained for consumption, excluded from demographic breakdowns</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29 February 2026 in dataset</w:t>
            </w:r>
          </w:p>
        </w:tc>
        <w:tc>
          <w:tcPr>
            <w:tcW w:type="dxa" w:w="3000"/>
            <w:shd w:fill="F2F2F2" w:val="clear"/>
            <w:tcMar>
              <w:top w:type="dxa" w:w="60"/>
              <w:left w:type="dxa" w:w="100"/>
              <w:bottom w:type="dxa" w:w="60"/>
              <w:right w:type="dxa" w:w="100"/>
            </w:tcMar>
          </w:tcPr>
          <w:p>
            <w:pPr>
              <w:jc w:val="left"/>
            </w:pPr>
            <w:r>
              <w:rPr>
                <w:color w:val="2D2D2D"/>
                <w:sz w:val="20"/>
                <w:szCs w:val="20"/>
              </w:rPr>
              <w:t xml:space="preserve">Flagged as data quality error</w:t>
            </w:r>
          </w:p>
        </w:tc>
        <w:tc>
          <w:tcPr>
            <w:tcW w:type="dxa" w:w="3000"/>
            <w:shd w:fill="F2F2F2" w:val="clear"/>
            <w:tcMar>
              <w:top w:type="dxa" w:w="60"/>
              <w:left w:type="dxa" w:w="100"/>
              <w:bottom w:type="dxa" w:w="60"/>
              <w:right w:type="dxa" w:w="100"/>
            </w:tcMar>
          </w:tcPr>
          <w:p>
            <w:pPr>
              <w:jc w:val="left"/>
            </w:pPr>
            <w:r>
              <w:rPr>
                <w:color w:val="2D2D2D"/>
                <w:sz w:val="20"/>
                <w:szCs w:val="20"/>
              </w:rPr>
              <w:t xml:space="preserve">2026 is not a leap year — this date does not exist and requires source investigation</w:t>
            </w:r>
          </w:p>
        </w:tc>
      </w:tr>
    </w:tbl>
    <w:p>
      <w:pPr>
        <w:spacing w:after="100" w:before="100"/>
      </w:pPr>
    </w:p>
    <w:p>
      <w:pPr>
        <w:pStyle w:val="Heading2"/>
        <w:spacing w:after="150" w:before="300"/>
        <w:rPr>
          <w:b/>
          <w:bCs/>
          <w:color w:val="1B3A6B"/>
          <w:sz w:val="24"/>
          <w:szCs w:val="24"/>
        </w:rPr>
      </w:pPr>
      <w:r>
        <w:t xml:space="preserve">2.3 Master Analytical View</w:t>
      </w:r>
    </w:p>
    <w:p>
      <w:pPr>
        <w:spacing w:after="100" w:before="100"/>
        <w:jc w:val="both"/>
      </w:pPr>
      <w:r>
        <w:rPr>
          <w:color w:val="2D2D2D"/>
          <w:sz w:val="22"/>
          <w:szCs w:val="22"/>
        </w:rPr>
        <w:t xml:space="preserve">A master view called bright_tv_master was created in Databricks as a permanent reusable analytical layer. This view joins both raw tables, applies all cleaning and transformation logic, and exposes clean columns ready for dashboard consumption. All three dashboard pages connect directly to this single view, ensuring consistency across every insight.</w:t>
      </w:r>
    </w:p>
    <w:p>
      <w:pPr>
        <w:spacing w:after="100" w:before="100"/>
      </w:pPr>
    </w:p>
    <w:p>
      <w:pPr>
        <w:spacing w:after="100" w:before="100"/>
        <w:jc w:val="both"/>
      </w:pPr>
      <w:r>
        <w:rPr>
          <w:color w:val="2D2D2D"/>
          <w:sz w:val="22"/>
          <w:szCs w:val="22"/>
        </w:rPr>
        <w:t xml:space="preserve">Key transformations applied within the view:</w:t>
      </w:r>
    </w:p>
    <w:p>
      <w:pPr>
        <w:pStyle w:val="ListParagraph"/>
        <w:numPr>
          <w:ilvl w:val="0"/>
          <w:numId w:val="1"/>
        </w:numPr>
        <w:spacing w:after="60" w:before="60"/>
        <w:ind w:left="720"/>
      </w:pPr>
      <w:r>
        <w:rPr>
          <w:b w:val="false"/>
          <w:bCs w:val="false"/>
          <w:color w:val="2D2D2D"/>
          <w:sz w:val="22"/>
          <w:szCs w:val="22"/>
        </w:rPr>
        <w:t xml:space="preserve">Name + Surname concatenated into customer_name</w:t>
      </w:r>
    </w:p>
    <w:p>
      <w:pPr>
        <w:pStyle w:val="ListParagraph"/>
        <w:numPr>
          <w:ilvl w:val="0"/>
          <w:numId w:val="1"/>
        </w:numPr>
        <w:spacing w:after="60" w:before="60"/>
        <w:ind w:left="720"/>
      </w:pPr>
      <w:r>
        <w:rPr>
          <w:b w:val="false"/>
          <w:bCs w:val="false"/>
          <w:color w:val="2D2D2D"/>
          <w:sz w:val="22"/>
          <w:szCs w:val="22"/>
        </w:rPr>
        <w:t xml:space="preserve">RecordDate converted from UTC to SA time (UTC+2)</w:t>
      </w:r>
    </w:p>
    <w:p>
      <w:pPr>
        <w:pStyle w:val="ListParagraph"/>
        <w:numPr>
          <w:ilvl w:val="0"/>
          <w:numId w:val="1"/>
        </w:numPr>
        <w:spacing w:after="60" w:before="60"/>
        <w:ind w:left="720"/>
      </w:pPr>
      <w:r>
        <w:rPr>
          <w:b w:val="false"/>
          <w:bCs w:val="false"/>
          <w:color w:val="2D2D2D"/>
          <w:sz w:val="22"/>
          <w:szCs w:val="22"/>
        </w:rPr>
        <w:t xml:space="preserve">Date dimensions extracted: date_only, month, year, day, hour_of_day, day_of_week, day_name</w:t>
      </w:r>
    </w:p>
    <w:p>
      <w:pPr>
        <w:pStyle w:val="ListParagraph"/>
        <w:numPr>
          <w:ilvl w:val="0"/>
          <w:numId w:val="1"/>
        </w:numPr>
        <w:spacing w:after="60" w:before="60"/>
        <w:ind w:left="720"/>
      </w:pPr>
      <w:r>
        <w:rPr>
          <w:b w:val="false"/>
          <w:bCs w:val="false"/>
          <w:color w:val="2D2D2D"/>
          <w:sz w:val="22"/>
          <w:szCs w:val="22"/>
        </w:rPr>
        <w:t xml:space="preserve">Duration converted from timestamp to duration_minutes (numeric)</w:t>
      </w:r>
    </w:p>
    <w:p>
      <w:pPr>
        <w:pStyle w:val="ListParagraph"/>
        <w:numPr>
          <w:ilvl w:val="0"/>
          <w:numId w:val="1"/>
        </w:numPr>
        <w:spacing w:after="60" w:before="60"/>
        <w:ind w:left="720"/>
      </w:pPr>
      <w:r>
        <w:rPr>
          <w:b w:val="false"/>
          <w:bCs w:val="false"/>
          <w:color w:val="2D2D2D"/>
          <w:sz w:val="22"/>
          <w:szCs w:val="22"/>
        </w:rPr>
        <w:t xml:space="preserve">Age bucketed into 5 life-stage segments: Kids (0-12), Teenagers (13-17), Youth (18-29), Adults (30-59), Pensioners (60+)</w:t>
      </w:r>
    </w:p>
    <w:p>
      <w:pPr>
        <w:pStyle w:val="ListParagraph"/>
        <w:numPr>
          <w:ilvl w:val="0"/>
          <w:numId w:val="1"/>
        </w:numPr>
        <w:spacing w:after="60" w:before="60"/>
        <w:ind w:left="720"/>
      </w:pPr>
      <w:r>
        <w:rPr>
          <w:b w:val="false"/>
          <w:bCs w:val="false"/>
          <w:color w:val="2D2D2D"/>
          <w:sz w:val="22"/>
          <w:szCs w:val="22"/>
        </w:rPr>
        <w:t xml:space="preserve">Gender, Race and Province standardised and unknowns flagged</w:t>
      </w:r>
    </w:p>
    <w:p>
      <w:pPr>
        <w:pStyle w:val="ListParagraph"/>
        <w:numPr>
          <w:ilvl w:val="0"/>
          <w:numId w:val="1"/>
        </w:numPr>
        <w:spacing w:after="60" w:before="60"/>
        <w:ind w:left="720"/>
      </w:pPr>
      <w:r>
        <w:rPr>
          <w:b w:val="false"/>
          <w:bCs w:val="false"/>
          <w:color w:val="2D2D2D"/>
          <w:sz w:val="22"/>
          <w:szCs w:val="22"/>
        </w:rPr>
        <w:t xml:space="preserve">Social media presence and email presence flagged for targeting purposes</w:t>
      </w:r>
    </w:p>
    <w:p>
      <w:r>
        <w:br w:type="page"/>
      </w:r>
    </w:p>
    <w:p>
      <w:pPr>
        <w:pStyle w:val="Heading1"/>
        <w:spacing w:after="200" w:before="400"/>
        <w:rPr>
          <w:b/>
          <w:bCs/>
          <w:color w:val="1B3A6B"/>
          <w:sz w:val="28"/>
          <w:szCs w:val="28"/>
        </w:rPr>
      </w:pPr>
      <w:r>
        <w:t xml:space="preserve">3. Dashboard Overview</w:t>
      </w:r>
    </w:p>
    <w:p>
      <w:pPr>
        <w:spacing w:after="100" w:before="100"/>
        <w:jc w:val="both"/>
      </w:pPr>
      <w:r>
        <w:rPr>
          <w:color w:val="2D2D2D"/>
          <w:sz w:val="22"/>
          <w:szCs w:val="22"/>
        </w:rPr>
        <w:t xml:space="preserve">Three themed dashboard pages were built in Databricks under a single report titled BrightTV Viewership Analytics. Each page is themed around a specific business question to enable the CEO to navigate the analysis intuitively:</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B3A6B" w:val="clear"/>
            <w:tcMar>
              <w:top w:type="dxa" w:w="80"/>
              <w:left w:type="dxa" w:w="100"/>
              <w:bottom w:type="dxa" w:w="80"/>
              <w:right w:type="dxa" w:w="100"/>
            </w:tcMar>
          </w:tcPr>
          <w:p>
            <w:pPr>
              <w:jc w:val="center"/>
            </w:pPr>
            <w:r>
              <w:rPr>
                <w:b/>
                <w:bCs/>
                <w:color w:val="FFFFFF"/>
                <w:sz w:val="20"/>
                <w:szCs w:val="20"/>
              </w:rPr>
              <w:t xml:space="preserve">Page</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Theme</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Business Question Answered</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Visuals</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Page 1</w:t>
            </w:r>
          </w:p>
        </w:tc>
        <w:tc>
          <w:tcPr>
            <w:tcW w:type="dxa" w:w="2250"/>
            <w:shd w:fill="F2F2F2" w:val="clear"/>
            <w:tcMar>
              <w:top w:type="dxa" w:w="60"/>
              <w:left w:type="dxa" w:w="100"/>
              <w:bottom w:type="dxa" w:w="60"/>
              <w:right w:type="dxa" w:w="100"/>
            </w:tcMar>
          </w:tcPr>
          <w:p>
            <w:pPr>
              <w:jc w:val="left"/>
            </w:pPr>
            <w:r>
              <w:rPr>
                <w:color w:val="2D2D2D"/>
                <w:sz w:val="20"/>
                <w:szCs w:val="20"/>
              </w:rPr>
              <w:t xml:space="preserve">Demographics</w:t>
            </w:r>
          </w:p>
        </w:tc>
        <w:tc>
          <w:tcPr>
            <w:tcW w:type="dxa" w:w="2250"/>
            <w:shd w:fill="F2F2F2" w:val="clear"/>
            <w:tcMar>
              <w:top w:type="dxa" w:w="60"/>
              <w:left w:type="dxa" w:w="100"/>
              <w:bottom w:type="dxa" w:w="60"/>
              <w:right w:type="dxa" w:w="100"/>
            </w:tcMar>
          </w:tcPr>
          <w:p>
            <w:pPr>
              <w:jc w:val="left"/>
            </w:pPr>
            <w:r>
              <w:rPr>
                <w:color w:val="2D2D2D"/>
                <w:sz w:val="20"/>
                <w:szCs w:val="20"/>
              </w:rPr>
              <w:t xml:space="preserve">Who is watching?</w:t>
            </w:r>
          </w:p>
        </w:tc>
        <w:tc>
          <w:tcPr>
            <w:tcW w:type="dxa" w:w="2250"/>
            <w:shd w:fill="F2F2F2" w:val="clear"/>
            <w:tcMar>
              <w:top w:type="dxa" w:w="60"/>
              <w:left w:type="dxa" w:w="100"/>
              <w:bottom w:type="dxa" w:w="60"/>
              <w:right w:type="dxa" w:w="100"/>
            </w:tcMar>
          </w:tcPr>
          <w:p>
            <w:pPr>
              <w:jc w:val="left"/>
            </w:pPr>
            <w:r>
              <w:rPr>
                <w:color w:val="2D2D2D"/>
                <w:sz w:val="20"/>
                <w:szCs w:val="20"/>
              </w:rPr>
              <w:t xml:space="preserve">Total Subscribers KPI, Gender Donut, Age Group Bar, Province Bar, Race Bar + 2 Slicers</w:t>
            </w:r>
          </w:p>
        </w:tc>
      </w:tr>
      <w:tr>
        <w:tc>
          <w:tcPr>
            <w:tcW w:type="dxa" w:w="2250"/>
            <w:shd w:fill="FFFFFF" w:val="clear"/>
            <w:tcMar>
              <w:top w:type="dxa" w:w="60"/>
              <w:left w:type="dxa" w:w="100"/>
              <w:bottom w:type="dxa" w:w="60"/>
              <w:right w:type="dxa" w:w="100"/>
            </w:tcMar>
          </w:tcPr>
          <w:p>
            <w:pPr>
              <w:jc w:val="left"/>
            </w:pPr>
            <w:r>
              <w:rPr>
                <w:color w:val="2D2D2D"/>
                <w:sz w:val="20"/>
                <w:szCs w:val="20"/>
              </w:rPr>
              <w:t xml:space="preserve">Page 2</w:t>
            </w:r>
          </w:p>
        </w:tc>
        <w:tc>
          <w:tcPr>
            <w:tcW w:type="dxa" w:w="2250"/>
            <w:shd w:fill="FFFFFF" w:val="clear"/>
            <w:tcMar>
              <w:top w:type="dxa" w:w="60"/>
              <w:left w:type="dxa" w:w="100"/>
              <w:bottom w:type="dxa" w:w="60"/>
              <w:right w:type="dxa" w:w="100"/>
            </w:tcMar>
          </w:tcPr>
          <w:p>
            <w:pPr>
              <w:jc w:val="left"/>
            </w:pPr>
            <w:r>
              <w:rPr>
                <w:color w:val="2D2D2D"/>
                <w:sz w:val="20"/>
                <w:szCs w:val="20"/>
              </w:rPr>
              <w:t xml:space="preserve">Time Trends</w:t>
            </w:r>
          </w:p>
        </w:tc>
        <w:tc>
          <w:tcPr>
            <w:tcW w:type="dxa" w:w="2250"/>
            <w:shd w:fill="FFFFFF" w:val="clear"/>
            <w:tcMar>
              <w:top w:type="dxa" w:w="60"/>
              <w:left w:type="dxa" w:w="100"/>
              <w:bottom w:type="dxa" w:w="60"/>
              <w:right w:type="dxa" w:w="100"/>
            </w:tcMar>
          </w:tcPr>
          <w:p>
            <w:pPr>
              <w:jc w:val="left"/>
            </w:pPr>
            <w:r>
              <w:rPr>
                <w:color w:val="2D2D2D"/>
                <w:sz w:val="20"/>
                <w:szCs w:val="20"/>
              </w:rPr>
              <w:t xml:space="preserve">When are they watching?</w:t>
            </w:r>
          </w:p>
        </w:tc>
        <w:tc>
          <w:tcPr>
            <w:tcW w:type="dxa" w:w="2250"/>
            <w:shd w:fill="FFFFFF" w:val="clear"/>
            <w:tcMar>
              <w:top w:type="dxa" w:w="60"/>
              <w:left w:type="dxa" w:w="100"/>
              <w:bottom w:type="dxa" w:w="60"/>
              <w:right w:type="dxa" w:w="100"/>
            </w:tcMar>
          </w:tcPr>
          <w:p>
            <w:pPr>
              <w:jc w:val="left"/>
            </w:pPr>
            <w:r>
              <w:rPr>
                <w:color w:val="2D2D2D"/>
                <w:sz w:val="20"/>
                <w:szCs w:val="20"/>
              </w:rPr>
              <w:t xml:space="preserve">Total Minutes KPI, Peak Hours Line, Day of Week Bar, Monthly Trend Line, Lowest Consumption Days Bar + 2 Slicers</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Page 3</w:t>
            </w:r>
          </w:p>
        </w:tc>
        <w:tc>
          <w:tcPr>
            <w:tcW w:type="dxa" w:w="2250"/>
            <w:shd w:fill="F2F2F2" w:val="clear"/>
            <w:tcMar>
              <w:top w:type="dxa" w:w="60"/>
              <w:left w:type="dxa" w:w="100"/>
              <w:bottom w:type="dxa" w:w="60"/>
              <w:right w:type="dxa" w:w="100"/>
            </w:tcMar>
          </w:tcPr>
          <w:p>
            <w:pPr>
              <w:jc w:val="left"/>
            </w:pPr>
            <w:r>
              <w:rPr>
                <w:color w:val="2D2D2D"/>
                <w:sz w:val="20"/>
                <w:szCs w:val="20"/>
              </w:rPr>
              <w:t xml:space="preserve">Content &amp; Channels</w:t>
            </w:r>
          </w:p>
        </w:tc>
        <w:tc>
          <w:tcPr>
            <w:tcW w:type="dxa" w:w="2250"/>
            <w:shd w:fill="F2F2F2" w:val="clear"/>
            <w:tcMar>
              <w:top w:type="dxa" w:w="60"/>
              <w:left w:type="dxa" w:w="100"/>
              <w:bottom w:type="dxa" w:w="60"/>
              <w:right w:type="dxa" w:w="100"/>
            </w:tcMar>
          </w:tcPr>
          <w:p>
            <w:pPr>
              <w:jc w:val="left"/>
            </w:pPr>
            <w:r>
              <w:rPr>
                <w:color w:val="2D2D2D"/>
                <w:sz w:val="20"/>
                <w:szCs w:val="20"/>
              </w:rPr>
              <w:t xml:space="preserve">What are they watching?</w:t>
            </w:r>
          </w:p>
        </w:tc>
        <w:tc>
          <w:tcPr>
            <w:tcW w:type="dxa" w:w="2250"/>
            <w:shd w:fill="F2F2F2" w:val="clear"/>
            <w:tcMar>
              <w:top w:type="dxa" w:w="60"/>
              <w:left w:type="dxa" w:w="100"/>
              <w:bottom w:type="dxa" w:w="60"/>
              <w:right w:type="dxa" w:w="100"/>
            </w:tcMar>
          </w:tcPr>
          <w:p>
            <w:pPr>
              <w:jc w:val="left"/>
            </w:pPr>
            <w:r>
              <w:rPr>
                <w:color w:val="2D2D2D"/>
                <w:sz w:val="20"/>
                <w:szCs w:val="20"/>
              </w:rPr>
              <w:t xml:space="preserve">Total Sessions KPI, Most Watched Channels Bar, Province Consumption Bar + 4 Slicers</w:t>
            </w:r>
          </w:p>
        </w:tc>
      </w:tr>
    </w:tbl>
    <w:p>
      <w:pPr>
        <w:spacing w:after="100" w:before="100"/>
      </w:pPr>
    </w:p>
    <w:p>
      <w:pPr>
        <w:spacing w:after="100" w:before="100"/>
        <w:jc w:val="both"/>
      </w:pPr>
      <w:r>
        <w:rPr>
          <w:color w:val="2D2D2D"/>
          <w:sz w:val="22"/>
          <w:szCs w:val="22"/>
        </w:rPr>
        <w:t xml:space="preserve">Interactive slicers on each page allow the CEO to filter all visuals simultaneously by demographic or time dimension, enabling cross-dimensional exploration without requiring separate charts.</w:t>
      </w:r>
    </w:p>
    <w:p>
      <w:r>
        <w:br w:type="page"/>
      </w:r>
    </w:p>
    <w:p>
      <w:pPr>
        <w:pStyle w:val="Heading1"/>
        <w:spacing w:after="200" w:before="400"/>
        <w:rPr>
          <w:b/>
          <w:bCs/>
          <w:color w:val="1B3A6B"/>
          <w:sz w:val="28"/>
          <w:szCs w:val="28"/>
        </w:rPr>
      </w:pPr>
      <w:r>
        <w:t xml:space="preserve">4. Findings — Demographics</w:t>
      </w:r>
    </w:p>
    <w:p>
      <w:pPr>
        <w:pStyle w:val="Heading2"/>
        <w:spacing w:after="150" w:before="300"/>
        <w:rPr>
          <w:b/>
          <w:bCs/>
          <w:color w:val="1B3A6B"/>
          <w:sz w:val="24"/>
          <w:szCs w:val="24"/>
        </w:rPr>
      </w:pPr>
      <w:r>
        <w:t xml:space="preserve">Who is watching?</w:t>
      </w:r>
    </w:p>
    <w:p>
      <w:pPr>
        <w:spacing w:after="100" w:before="100"/>
      </w:pPr>
    </w:p>
    <w:p>
      <w:pPr>
        <w:pStyle w:val="Heading3"/>
        <w:spacing w:after="100" w:before="200"/>
        <w:rPr>
          <w:b/>
          <w:bCs/>
          <w:color w:val="F2994A"/>
          <w:sz w:val="22"/>
          <w:szCs w:val="22"/>
        </w:rPr>
      </w:pPr>
      <w:r>
        <w:t xml:space="preserve">4.1 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6B" w:val="clear"/>
            <w:tcMar>
              <w:top w:type="dxa" w:w="80"/>
              <w:left w:type="dxa" w:w="100"/>
              <w:bottom w:type="dxa" w:w="80"/>
              <w:right w:type="dxa" w:w="100"/>
            </w:tcMar>
          </w:tcPr>
          <w:p>
            <w:pPr>
              <w:jc w:val="center"/>
            </w:pPr>
            <w:r>
              <w:rPr>
                <w:b/>
                <w:bCs/>
                <w:color w:val="FFFFFF"/>
                <w:sz w:val="20"/>
                <w:szCs w:val="20"/>
              </w:rPr>
              <w:t xml:space="preserve">KPI</w:t>
            </w:r>
          </w:p>
        </w:tc>
        <w:tc>
          <w:tcPr>
            <w:tcW w:type="dxa" w:w="4500"/>
            <w:shd w:fill="1B3A6B" w:val="clear"/>
            <w:tcMar>
              <w:top w:type="dxa" w:w="80"/>
              <w:left w:type="dxa" w:w="100"/>
              <w:bottom w:type="dxa" w:w="80"/>
              <w:right w:type="dxa" w:w="100"/>
            </w:tcMar>
          </w:tcPr>
          <w:p>
            <w:pPr>
              <w:jc w:val="center"/>
            </w:pPr>
            <w:r>
              <w:rPr>
                <w:b/>
                <w:bCs/>
                <w:color w:val="FFFFFF"/>
                <w:sz w:val="20"/>
                <w:szCs w:val="20"/>
              </w:rPr>
              <w:t xml:space="preserve">Value</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Total Unique Subscribers</w:t>
            </w:r>
          </w:p>
        </w:tc>
        <w:tc>
          <w:tcPr>
            <w:tcW w:type="dxa" w:w="4500"/>
            <w:shd w:fill="F2F2F2" w:val="clear"/>
            <w:tcMar>
              <w:top w:type="dxa" w:w="60"/>
              <w:left w:type="dxa" w:w="100"/>
              <w:bottom w:type="dxa" w:w="60"/>
              <w:right w:type="dxa" w:w="100"/>
            </w:tcMar>
          </w:tcPr>
          <w:p>
            <w:pPr>
              <w:jc w:val="left"/>
            </w:pPr>
            <w:r>
              <w:rPr>
                <w:color w:val="2D2D2D"/>
                <w:sz w:val="20"/>
                <w:szCs w:val="20"/>
              </w:rPr>
              <w:t xml:space="preserve">4,386</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Total Viewing Sessions</w:t>
            </w:r>
          </w:p>
        </w:tc>
        <w:tc>
          <w:tcPr>
            <w:tcW w:type="dxa" w:w="4500"/>
            <w:shd w:fill="FFFFFF" w:val="clear"/>
            <w:tcMar>
              <w:top w:type="dxa" w:w="60"/>
              <w:left w:type="dxa" w:w="100"/>
              <w:bottom w:type="dxa" w:w="60"/>
              <w:right w:type="dxa" w:w="100"/>
            </w:tcMar>
          </w:tcPr>
          <w:p>
            <w:pPr>
              <w:jc w:val="left"/>
            </w:pPr>
            <w:r>
              <w:rPr>
                <w:color w:val="2D2D2D"/>
                <w:sz w:val="20"/>
                <w:szCs w:val="20"/>
              </w:rPr>
              <w:t xml:space="preserve">10,000</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Total Minutes Watched</w:t>
            </w:r>
          </w:p>
        </w:tc>
        <w:tc>
          <w:tcPr>
            <w:tcW w:type="dxa" w:w="4500"/>
            <w:shd w:fill="F2F2F2" w:val="clear"/>
            <w:tcMar>
              <w:top w:type="dxa" w:w="60"/>
              <w:left w:type="dxa" w:w="100"/>
              <w:bottom w:type="dxa" w:w="60"/>
              <w:right w:type="dxa" w:w="100"/>
            </w:tcMar>
          </w:tcPr>
          <w:p>
            <w:pPr>
              <w:jc w:val="left"/>
            </w:pPr>
            <w:r>
              <w:rPr>
                <w:color w:val="2D2D2D"/>
                <w:sz w:val="20"/>
                <w:szCs w:val="20"/>
              </w:rPr>
              <w:t xml:space="preserve">87,210 minutes</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Data Period</w:t>
            </w:r>
          </w:p>
        </w:tc>
        <w:tc>
          <w:tcPr>
            <w:tcW w:type="dxa" w:w="4500"/>
            <w:shd w:fill="FFFFFF" w:val="clear"/>
            <w:tcMar>
              <w:top w:type="dxa" w:w="60"/>
              <w:left w:type="dxa" w:w="100"/>
              <w:bottom w:type="dxa" w:w="60"/>
              <w:right w:type="dxa" w:w="100"/>
            </w:tcMar>
          </w:tcPr>
          <w:p>
            <w:pPr>
              <w:jc w:val="left"/>
            </w:pPr>
            <w:r>
              <w:rPr>
                <w:color w:val="2D2D2D"/>
                <w:sz w:val="20"/>
                <w:szCs w:val="20"/>
              </w:rPr>
              <w:t xml:space="preserve">January – March 2026 (3 complete months)</w:t>
            </w:r>
          </w:p>
        </w:tc>
      </w:tr>
    </w:tbl>
    <w:p>
      <w:pPr>
        <w:spacing w:after="100" w:before="100"/>
      </w:pPr>
    </w:p>
    <w:p>
      <w:pPr>
        <w:pStyle w:val="Heading3"/>
        <w:spacing w:after="100" w:before="200"/>
        <w:rPr>
          <w:b/>
          <w:bCs/>
          <w:color w:val="F2994A"/>
          <w:sz w:val="22"/>
          <w:szCs w:val="22"/>
        </w:rPr>
      </w:pPr>
      <w:r>
        <w:t xml:space="preserve">4.2 Gender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Gender</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Subscribers</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Percentage</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Male</w:t>
            </w:r>
          </w:p>
        </w:tc>
        <w:tc>
          <w:tcPr>
            <w:tcW w:type="dxa" w:w="3000"/>
            <w:shd w:fill="F2F2F2" w:val="clear"/>
            <w:tcMar>
              <w:top w:type="dxa" w:w="60"/>
              <w:left w:type="dxa" w:w="100"/>
              <w:bottom w:type="dxa" w:w="60"/>
              <w:right w:type="dxa" w:w="100"/>
            </w:tcMar>
          </w:tcPr>
          <w:p>
            <w:pPr>
              <w:jc w:val="left"/>
            </w:pPr>
            <w:r>
              <w:rPr>
                <w:color w:val="2D2D2D"/>
                <w:sz w:val="20"/>
                <w:szCs w:val="20"/>
              </w:rPr>
              <w:t xml:space="preserve">3,723</w:t>
            </w:r>
          </w:p>
        </w:tc>
        <w:tc>
          <w:tcPr>
            <w:tcW w:type="dxa" w:w="3000"/>
            <w:shd w:fill="F2F2F2" w:val="clear"/>
            <w:tcMar>
              <w:top w:type="dxa" w:w="60"/>
              <w:left w:type="dxa" w:w="100"/>
              <w:bottom w:type="dxa" w:w="60"/>
              <w:right w:type="dxa" w:w="100"/>
            </w:tcMar>
          </w:tcPr>
          <w:p>
            <w:pPr>
              <w:jc w:val="left"/>
            </w:pPr>
            <w:r>
              <w:rPr>
                <w:color w:val="2D2D2D"/>
                <w:sz w:val="20"/>
                <w:szCs w:val="20"/>
              </w:rPr>
              <w:t xml:space="preserve">84.88%</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Female</w:t>
            </w:r>
          </w:p>
        </w:tc>
        <w:tc>
          <w:tcPr>
            <w:tcW w:type="dxa" w:w="3000"/>
            <w:shd w:fill="FFFFFF" w:val="clear"/>
            <w:tcMar>
              <w:top w:type="dxa" w:w="60"/>
              <w:left w:type="dxa" w:w="100"/>
              <w:bottom w:type="dxa" w:w="60"/>
              <w:right w:type="dxa" w:w="100"/>
            </w:tcMar>
          </w:tcPr>
          <w:p>
            <w:pPr>
              <w:jc w:val="left"/>
            </w:pPr>
            <w:r>
              <w:rPr>
                <w:color w:val="2D2D2D"/>
                <w:sz w:val="20"/>
                <w:szCs w:val="20"/>
              </w:rPr>
              <w:t xml:space="preserve">488</w:t>
            </w:r>
          </w:p>
        </w:tc>
        <w:tc>
          <w:tcPr>
            <w:tcW w:type="dxa" w:w="3000"/>
            <w:shd w:fill="FFFFFF" w:val="clear"/>
            <w:tcMar>
              <w:top w:type="dxa" w:w="60"/>
              <w:left w:type="dxa" w:w="100"/>
              <w:bottom w:type="dxa" w:w="60"/>
              <w:right w:type="dxa" w:w="100"/>
            </w:tcMar>
          </w:tcPr>
          <w:p>
            <w:pPr>
              <w:jc w:val="left"/>
            </w:pPr>
            <w:r>
              <w:rPr>
                <w:color w:val="2D2D2D"/>
                <w:sz w:val="20"/>
                <w:szCs w:val="20"/>
              </w:rPr>
              <w:t xml:space="preserve">11.13%</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Unknown Gender</w:t>
            </w:r>
          </w:p>
        </w:tc>
        <w:tc>
          <w:tcPr>
            <w:tcW w:type="dxa" w:w="3000"/>
            <w:shd w:fill="F2F2F2" w:val="clear"/>
            <w:tcMar>
              <w:top w:type="dxa" w:w="60"/>
              <w:left w:type="dxa" w:w="100"/>
              <w:bottom w:type="dxa" w:w="60"/>
              <w:right w:type="dxa" w:w="100"/>
            </w:tcMar>
          </w:tcPr>
          <w:p>
            <w:pPr>
              <w:jc w:val="left"/>
            </w:pPr>
            <w:r>
              <w:rPr>
                <w:color w:val="2D2D2D"/>
                <w:sz w:val="20"/>
                <w:szCs w:val="20"/>
              </w:rPr>
              <w:t xml:space="preserve">175</w:t>
            </w:r>
          </w:p>
        </w:tc>
        <w:tc>
          <w:tcPr>
            <w:tcW w:type="dxa" w:w="3000"/>
            <w:shd w:fill="F2F2F2" w:val="clear"/>
            <w:tcMar>
              <w:top w:type="dxa" w:w="60"/>
              <w:left w:type="dxa" w:w="100"/>
              <w:bottom w:type="dxa" w:w="60"/>
              <w:right w:type="dxa" w:w="100"/>
            </w:tcMar>
          </w:tcPr>
          <w:p>
            <w:pPr>
              <w:jc w:val="left"/>
            </w:pPr>
            <w:r>
              <w:rPr>
                <w:color w:val="2D2D2D"/>
                <w:sz w:val="20"/>
                <w:szCs w:val="20"/>
              </w:rPr>
              <w:t xml:space="preserve">3.99%</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Total</w:t>
            </w:r>
          </w:p>
        </w:tc>
        <w:tc>
          <w:tcPr>
            <w:tcW w:type="dxa" w:w="3000"/>
            <w:shd w:fill="FFFFFF" w:val="clear"/>
            <w:tcMar>
              <w:top w:type="dxa" w:w="60"/>
              <w:left w:type="dxa" w:w="100"/>
              <w:bottom w:type="dxa" w:w="60"/>
              <w:right w:type="dxa" w:w="100"/>
            </w:tcMar>
          </w:tcPr>
          <w:p>
            <w:pPr>
              <w:jc w:val="left"/>
            </w:pPr>
            <w:r>
              <w:rPr>
                <w:color w:val="2D2D2D"/>
                <w:sz w:val="20"/>
                <w:szCs w:val="20"/>
              </w:rPr>
              <w:t xml:space="preserve">4,386</w:t>
            </w:r>
          </w:p>
        </w:tc>
        <w:tc>
          <w:tcPr>
            <w:tcW w:type="dxa" w:w="3000"/>
            <w:shd w:fill="FFFFFF" w:val="clear"/>
            <w:tcMar>
              <w:top w:type="dxa" w:w="60"/>
              <w:left w:type="dxa" w:w="100"/>
              <w:bottom w:type="dxa" w:w="60"/>
              <w:right w:type="dxa" w:w="100"/>
            </w:tcMar>
          </w:tcPr>
          <w:p>
            <w:pPr>
              <w:jc w:val="left"/>
            </w:pPr>
            <w:r>
              <w:rPr>
                <w:color w:val="2D2D2D"/>
                <w:sz w:val="20"/>
                <w:szCs w:val="20"/>
              </w:rPr>
              <w:t xml:space="preserve">100%</w:t>
            </w:r>
          </w:p>
        </w:tc>
      </w:tr>
    </w:tbl>
    <w:p>
      <w:pPr>
        <w:spacing w:after="100" w:before="100"/>
      </w:pPr>
    </w:p>
    <w:p>
      <w:pPr>
        <w:spacing w:after="100" w:before="100"/>
        <w:jc w:val="both"/>
      </w:pPr>
      <w:r>
        <w:rPr>
          <w:color w:val="2D2D2D"/>
          <w:sz w:val="22"/>
          <w:szCs w:val="22"/>
        </w:rPr>
        <w:t xml:space="preserve">BrightTV's subscriber base is overwhelmingly male, with males outnumbering females by more than 7:1. This represents the single most significant demographic imbalance and the largest growth opportunity available to the business. The 175 unknown gender subscribers are predominantly ghost profiles — subscribers with incomplete registration data.</w:t>
      </w:r>
    </w:p>
    <w:p>
      <w:pPr>
        <w:spacing w:after="100" w:before="100"/>
      </w:pPr>
    </w:p>
    <w:p>
      <w:pPr>
        <w:pStyle w:val="Heading3"/>
        <w:spacing w:after="100" w:before="200"/>
        <w:rPr>
          <w:b/>
          <w:bCs/>
          <w:color w:val="F2994A"/>
          <w:sz w:val="22"/>
          <w:szCs w:val="22"/>
        </w:rPr>
      </w:pPr>
      <w:r>
        <w:t xml:space="preserve">4.3 Age Group Distribution by Gender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1B3A6B" w:val="clear"/>
            <w:tcMar>
              <w:top w:type="dxa" w:w="80"/>
              <w:left w:type="dxa" w:w="100"/>
              <w:bottom w:type="dxa" w:w="80"/>
              <w:right w:type="dxa" w:w="100"/>
            </w:tcMar>
          </w:tcPr>
          <w:p>
            <w:pPr>
              <w:jc w:val="center"/>
            </w:pPr>
            <w:r>
              <w:rPr>
                <w:b/>
                <w:bCs/>
                <w:color w:val="FFFFFF"/>
                <w:sz w:val="20"/>
                <w:szCs w:val="20"/>
              </w:rPr>
              <w:t xml:space="preserve">Age Group</w:t>
            </w:r>
          </w:p>
        </w:tc>
        <w:tc>
          <w:tcPr>
            <w:tcW w:type="dxa" w:w="1500"/>
            <w:shd w:fill="1B3A6B" w:val="clear"/>
            <w:tcMar>
              <w:top w:type="dxa" w:w="80"/>
              <w:left w:type="dxa" w:w="100"/>
              <w:bottom w:type="dxa" w:w="80"/>
              <w:right w:type="dxa" w:w="100"/>
            </w:tcMar>
          </w:tcPr>
          <w:p>
            <w:pPr>
              <w:jc w:val="center"/>
            </w:pPr>
            <w:r>
              <w:rPr>
                <w:b/>
                <w:bCs/>
                <w:color w:val="FFFFFF"/>
                <w:sz w:val="20"/>
                <w:szCs w:val="20"/>
              </w:rPr>
              <w:t xml:space="preserve">Age Range</w:t>
            </w:r>
          </w:p>
        </w:tc>
        <w:tc>
          <w:tcPr>
            <w:tcW w:type="dxa" w:w="1500"/>
            <w:shd w:fill="1B3A6B" w:val="clear"/>
            <w:tcMar>
              <w:top w:type="dxa" w:w="80"/>
              <w:left w:type="dxa" w:w="100"/>
              <w:bottom w:type="dxa" w:w="80"/>
              <w:right w:type="dxa" w:w="100"/>
            </w:tcMar>
          </w:tcPr>
          <w:p>
            <w:pPr>
              <w:jc w:val="center"/>
            </w:pPr>
            <w:r>
              <w:rPr>
                <w:b/>
                <w:bCs/>
                <w:color w:val="FFFFFF"/>
                <w:sz w:val="20"/>
                <w:szCs w:val="20"/>
              </w:rPr>
              <w:t xml:space="preserve">Male</w:t>
            </w:r>
          </w:p>
        </w:tc>
        <w:tc>
          <w:tcPr>
            <w:tcW w:type="dxa" w:w="1500"/>
            <w:shd w:fill="1B3A6B" w:val="clear"/>
            <w:tcMar>
              <w:top w:type="dxa" w:w="80"/>
              <w:left w:type="dxa" w:w="100"/>
              <w:bottom w:type="dxa" w:w="80"/>
              <w:right w:type="dxa" w:w="100"/>
            </w:tcMar>
          </w:tcPr>
          <w:p>
            <w:pPr>
              <w:jc w:val="center"/>
            </w:pPr>
            <w:r>
              <w:rPr>
                <w:b/>
                <w:bCs/>
                <w:color w:val="FFFFFF"/>
                <w:sz w:val="20"/>
                <w:szCs w:val="20"/>
              </w:rPr>
              <w:t xml:space="preserve">Female</w:t>
            </w:r>
          </w:p>
        </w:tc>
        <w:tc>
          <w:tcPr>
            <w:tcW w:type="dxa" w:w="1500"/>
            <w:shd w:fill="1B3A6B" w:val="clear"/>
            <w:tcMar>
              <w:top w:type="dxa" w:w="80"/>
              <w:left w:type="dxa" w:w="100"/>
              <w:bottom w:type="dxa" w:w="80"/>
              <w:right w:type="dxa" w:w="100"/>
            </w:tcMar>
          </w:tcPr>
          <w:p>
            <w:pPr>
              <w:jc w:val="center"/>
            </w:pPr>
            <w:r>
              <w:rPr>
                <w:b/>
                <w:bCs/>
                <w:color w:val="FFFFFF"/>
                <w:sz w:val="20"/>
                <w:szCs w:val="20"/>
              </w:rPr>
              <w:t xml:space="preserve">Unknown</w:t>
            </w:r>
          </w:p>
        </w:tc>
        <w:tc>
          <w:tcPr>
            <w:tcW w:type="dxa" w:w="1500"/>
            <w:shd w:fill="1B3A6B" w:val="clear"/>
            <w:tcMar>
              <w:top w:type="dxa" w:w="80"/>
              <w:left w:type="dxa" w:w="100"/>
              <w:bottom w:type="dxa" w:w="80"/>
              <w:right w:type="dxa" w:w="100"/>
            </w:tcMar>
          </w:tcPr>
          <w:p>
            <w:pPr>
              <w:jc w:val="center"/>
            </w:pPr>
            <w:r>
              <w:rPr>
                <w:b/>
                <w:bCs/>
                <w:color w:val="FFFFFF"/>
                <w:sz w:val="20"/>
                <w:szCs w:val="20"/>
              </w:rPr>
              <w:t xml:space="preserve">Total</w:t>
            </w:r>
          </w:p>
        </w:tc>
      </w:tr>
      <w:tr>
        <w:tc>
          <w:tcPr>
            <w:tcW w:type="dxa" w:w="1500"/>
            <w:shd w:fill="F2F2F2" w:val="clear"/>
            <w:tcMar>
              <w:top w:type="dxa" w:w="60"/>
              <w:left w:type="dxa" w:w="100"/>
              <w:bottom w:type="dxa" w:w="60"/>
              <w:right w:type="dxa" w:w="100"/>
            </w:tcMar>
          </w:tcPr>
          <w:p>
            <w:pPr>
              <w:jc w:val="left"/>
            </w:pPr>
            <w:r>
              <w:rPr>
                <w:color w:val="2D2D2D"/>
                <w:sz w:val="20"/>
                <w:szCs w:val="20"/>
              </w:rPr>
              <w:t xml:space="preserve">Adults</w:t>
            </w:r>
          </w:p>
        </w:tc>
        <w:tc>
          <w:tcPr>
            <w:tcW w:type="dxa" w:w="1500"/>
            <w:shd w:fill="F2F2F2" w:val="clear"/>
            <w:tcMar>
              <w:top w:type="dxa" w:w="60"/>
              <w:left w:type="dxa" w:w="100"/>
              <w:bottom w:type="dxa" w:w="60"/>
              <w:right w:type="dxa" w:w="100"/>
            </w:tcMar>
          </w:tcPr>
          <w:p>
            <w:pPr>
              <w:jc w:val="left"/>
            </w:pPr>
            <w:r>
              <w:rPr>
                <w:color w:val="2D2D2D"/>
                <w:sz w:val="20"/>
                <w:szCs w:val="20"/>
              </w:rPr>
              <w:t xml:space="preserve">30-59</w:t>
            </w:r>
          </w:p>
        </w:tc>
        <w:tc>
          <w:tcPr>
            <w:tcW w:type="dxa" w:w="1500"/>
            <w:shd w:fill="F2F2F2" w:val="clear"/>
            <w:tcMar>
              <w:top w:type="dxa" w:w="60"/>
              <w:left w:type="dxa" w:w="100"/>
              <w:bottom w:type="dxa" w:w="60"/>
              <w:right w:type="dxa" w:w="100"/>
            </w:tcMar>
          </w:tcPr>
          <w:p>
            <w:pPr>
              <w:jc w:val="left"/>
            </w:pPr>
            <w:r>
              <w:rPr>
                <w:color w:val="2D2D2D"/>
                <w:sz w:val="20"/>
                <w:szCs w:val="20"/>
              </w:rPr>
              <w:t xml:space="preserve">2,280</w:t>
            </w:r>
          </w:p>
        </w:tc>
        <w:tc>
          <w:tcPr>
            <w:tcW w:type="dxa" w:w="1500"/>
            <w:shd w:fill="F2F2F2" w:val="clear"/>
            <w:tcMar>
              <w:top w:type="dxa" w:w="60"/>
              <w:left w:type="dxa" w:w="100"/>
              <w:bottom w:type="dxa" w:w="60"/>
              <w:right w:type="dxa" w:w="100"/>
            </w:tcMar>
          </w:tcPr>
          <w:p>
            <w:pPr>
              <w:jc w:val="left"/>
            </w:pPr>
            <w:r>
              <w:rPr>
                <w:color w:val="2D2D2D"/>
                <w:sz w:val="20"/>
                <w:szCs w:val="20"/>
              </w:rPr>
              <w:t xml:space="preserve">289</w:t>
            </w:r>
          </w:p>
        </w:tc>
        <w:tc>
          <w:tcPr>
            <w:tcW w:type="dxa" w:w="1500"/>
            <w:shd w:fill="F2F2F2" w:val="clear"/>
            <w:tcMar>
              <w:top w:type="dxa" w:w="60"/>
              <w:left w:type="dxa" w:w="100"/>
              <w:bottom w:type="dxa" w:w="60"/>
              <w:right w:type="dxa" w:w="100"/>
            </w:tcMar>
          </w:tcPr>
          <w:p>
            <w:pPr>
              <w:jc w:val="left"/>
            </w:pPr>
            <w:r>
              <w:rPr>
                <w:color w:val="2D2D2D"/>
                <w:sz w:val="20"/>
                <w:szCs w:val="20"/>
              </w:rPr>
              <w:t xml:space="preserve">1</w:t>
            </w:r>
          </w:p>
        </w:tc>
        <w:tc>
          <w:tcPr>
            <w:tcW w:type="dxa" w:w="1500"/>
            <w:shd w:fill="F2F2F2" w:val="clear"/>
            <w:tcMar>
              <w:top w:type="dxa" w:w="60"/>
              <w:left w:type="dxa" w:w="100"/>
              <w:bottom w:type="dxa" w:w="60"/>
              <w:right w:type="dxa" w:w="100"/>
            </w:tcMar>
          </w:tcPr>
          <w:p>
            <w:pPr>
              <w:jc w:val="left"/>
            </w:pPr>
            <w:r>
              <w:rPr>
                <w:color w:val="2D2D2D"/>
                <w:sz w:val="20"/>
                <w:szCs w:val="20"/>
              </w:rPr>
              <w:t xml:space="preserve">2,570</w:t>
            </w:r>
          </w:p>
        </w:tc>
      </w:tr>
      <w:tr>
        <w:tc>
          <w:tcPr>
            <w:tcW w:type="dxa" w:w="1500"/>
            <w:shd w:fill="FFFFFF" w:val="clear"/>
            <w:tcMar>
              <w:top w:type="dxa" w:w="60"/>
              <w:left w:type="dxa" w:w="100"/>
              <w:bottom w:type="dxa" w:w="60"/>
              <w:right w:type="dxa" w:w="100"/>
            </w:tcMar>
          </w:tcPr>
          <w:p>
            <w:pPr>
              <w:jc w:val="left"/>
            </w:pPr>
            <w:r>
              <w:rPr>
                <w:color w:val="2D2D2D"/>
                <w:sz w:val="20"/>
                <w:szCs w:val="20"/>
              </w:rPr>
              <w:t xml:space="preserve">Youth</w:t>
            </w:r>
          </w:p>
        </w:tc>
        <w:tc>
          <w:tcPr>
            <w:tcW w:type="dxa" w:w="1500"/>
            <w:shd w:fill="FFFFFF" w:val="clear"/>
            <w:tcMar>
              <w:top w:type="dxa" w:w="60"/>
              <w:left w:type="dxa" w:w="100"/>
              <w:bottom w:type="dxa" w:w="60"/>
              <w:right w:type="dxa" w:w="100"/>
            </w:tcMar>
          </w:tcPr>
          <w:p>
            <w:pPr>
              <w:jc w:val="left"/>
            </w:pPr>
            <w:r>
              <w:rPr>
                <w:color w:val="2D2D2D"/>
                <w:sz w:val="20"/>
                <w:szCs w:val="20"/>
              </w:rPr>
              <w:t xml:space="preserve">18-29</w:t>
            </w:r>
          </w:p>
        </w:tc>
        <w:tc>
          <w:tcPr>
            <w:tcW w:type="dxa" w:w="1500"/>
            <w:shd w:fill="FFFFFF" w:val="clear"/>
            <w:tcMar>
              <w:top w:type="dxa" w:w="60"/>
              <w:left w:type="dxa" w:w="100"/>
              <w:bottom w:type="dxa" w:w="60"/>
              <w:right w:type="dxa" w:w="100"/>
            </w:tcMar>
          </w:tcPr>
          <w:p>
            <w:pPr>
              <w:jc w:val="left"/>
            </w:pPr>
            <w:r>
              <w:rPr>
                <w:color w:val="2D2D2D"/>
                <w:sz w:val="20"/>
                <w:szCs w:val="20"/>
              </w:rPr>
              <w:t xml:space="preserve">1,320</w:t>
            </w:r>
          </w:p>
        </w:tc>
        <w:tc>
          <w:tcPr>
            <w:tcW w:type="dxa" w:w="1500"/>
            <w:shd w:fill="FFFFFF" w:val="clear"/>
            <w:tcMar>
              <w:top w:type="dxa" w:w="60"/>
              <w:left w:type="dxa" w:w="100"/>
              <w:bottom w:type="dxa" w:w="60"/>
              <w:right w:type="dxa" w:w="100"/>
            </w:tcMar>
          </w:tcPr>
          <w:p>
            <w:pPr>
              <w:jc w:val="left"/>
            </w:pPr>
            <w:r>
              <w:rPr>
                <w:color w:val="2D2D2D"/>
                <w:sz w:val="20"/>
                <w:szCs w:val="20"/>
              </w:rPr>
              <w:t xml:space="preserve">166</w:t>
            </w:r>
          </w:p>
        </w:tc>
        <w:tc>
          <w:tcPr>
            <w:tcW w:type="dxa" w:w="1500"/>
            <w:shd w:fill="FFFFFF" w:val="clear"/>
            <w:tcMar>
              <w:top w:type="dxa" w:w="60"/>
              <w:left w:type="dxa" w:w="100"/>
              <w:bottom w:type="dxa" w:w="60"/>
              <w:right w:type="dxa" w:w="100"/>
            </w:tcMar>
          </w:tcPr>
          <w:p>
            <w:pPr>
              <w:jc w:val="left"/>
            </w:pPr>
            <w:r>
              <w:rPr>
                <w:color w:val="2D2D2D"/>
                <w:sz w:val="20"/>
                <w:szCs w:val="20"/>
              </w:rPr>
              <w:t xml:space="preserve">0</w:t>
            </w:r>
          </w:p>
        </w:tc>
        <w:tc>
          <w:tcPr>
            <w:tcW w:type="dxa" w:w="1500"/>
            <w:shd w:fill="FFFFFF" w:val="clear"/>
            <w:tcMar>
              <w:top w:type="dxa" w:w="60"/>
              <w:left w:type="dxa" w:w="100"/>
              <w:bottom w:type="dxa" w:w="60"/>
              <w:right w:type="dxa" w:w="100"/>
            </w:tcMar>
          </w:tcPr>
          <w:p>
            <w:pPr>
              <w:jc w:val="left"/>
            </w:pPr>
            <w:r>
              <w:rPr>
                <w:color w:val="2D2D2D"/>
                <w:sz w:val="20"/>
                <w:szCs w:val="20"/>
              </w:rPr>
              <w:t xml:space="preserve">1,486</w:t>
            </w:r>
          </w:p>
        </w:tc>
      </w:tr>
      <w:tr>
        <w:tc>
          <w:tcPr>
            <w:tcW w:type="dxa" w:w="1500"/>
            <w:shd w:fill="F2F2F2" w:val="clear"/>
            <w:tcMar>
              <w:top w:type="dxa" w:w="60"/>
              <w:left w:type="dxa" w:w="100"/>
              <w:bottom w:type="dxa" w:w="60"/>
              <w:right w:type="dxa" w:w="100"/>
            </w:tcMar>
          </w:tcPr>
          <w:p>
            <w:pPr>
              <w:jc w:val="left"/>
            </w:pPr>
            <w:r>
              <w:rPr>
                <w:color w:val="2D2D2D"/>
                <w:sz w:val="20"/>
                <w:szCs w:val="20"/>
              </w:rPr>
              <w:t xml:space="preserve">Kids</w:t>
            </w:r>
          </w:p>
        </w:tc>
        <w:tc>
          <w:tcPr>
            <w:tcW w:type="dxa" w:w="1500"/>
            <w:shd w:fill="F2F2F2" w:val="clear"/>
            <w:tcMar>
              <w:top w:type="dxa" w:w="60"/>
              <w:left w:type="dxa" w:w="100"/>
              <w:bottom w:type="dxa" w:w="60"/>
              <w:right w:type="dxa" w:w="100"/>
            </w:tcMar>
          </w:tcPr>
          <w:p>
            <w:pPr>
              <w:jc w:val="left"/>
            </w:pPr>
            <w:r>
              <w:rPr>
                <w:color w:val="2D2D2D"/>
                <w:sz w:val="20"/>
                <w:szCs w:val="20"/>
              </w:rPr>
              <w:t xml:space="preserve">0-12</w:t>
            </w:r>
          </w:p>
        </w:tc>
        <w:tc>
          <w:tcPr>
            <w:tcW w:type="dxa" w:w="1500"/>
            <w:shd w:fill="F2F2F2" w:val="clear"/>
            <w:tcMar>
              <w:top w:type="dxa" w:w="60"/>
              <w:left w:type="dxa" w:w="100"/>
              <w:bottom w:type="dxa" w:w="60"/>
              <w:right w:type="dxa" w:w="100"/>
            </w:tcMar>
          </w:tcPr>
          <w:p>
            <w:pPr>
              <w:jc w:val="left"/>
            </w:pPr>
            <w:r>
              <w:rPr>
                <w:color w:val="2D2D2D"/>
                <w:sz w:val="20"/>
                <w:szCs w:val="20"/>
              </w:rPr>
              <w:t xml:space="preserve">27</w:t>
            </w:r>
          </w:p>
        </w:tc>
        <w:tc>
          <w:tcPr>
            <w:tcW w:type="dxa" w:w="1500"/>
            <w:shd w:fill="F2F2F2" w:val="clear"/>
            <w:tcMar>
              <w:top w:type="dxa" w:w="60"/>
              <w:left w:type="dxa" w:w="100"/>
              <w:bottom w:type="dxa" w:w="60"/>
              <w:right w:type="dxa" w:w="100"/>
            </w:tcMar>
          </w:tcPr>
          <w:p>
            <w:pPr>
              <w:jc w:val="left"/>
            </w:pPr>
            <w:r>
              <w:rPr>
                <w:color w:val="2D2D2D"/>
                <w:sz w:val="20"/>
                <w:szCs w:val="20"/>
              </w:rPr>
              <w:t xml:space="preserve">11</w:t>
            </w:r>
          </w:p>
        </w:tc>
        <w:tc>
          <w:tcPr>
            <w:tcW w:type="dxa" w:w="1500"/>
            <w:shd w:fill="F2F2F2" w:val="clear"/>
            <w:tcMar>
              <w:top w:type="dxa" w:w="60"/>
              <w:left w:type="dxa" w:w="100"/>
              <w:bottom w:type="dxa" w:w="60"/>
              <w:right w:type="dxa" w:w="100"/>
            </w:tcMar>
          </w:tcPr>
          <w:p>
            <w:pPr>
              <w:jc w:val="left"/>
            </w:pPr>
            <w:r>
              <w:rPr>
                <w:color w:val="2D2D2D"/>
                <w:sz w:val="20"/>
                <w:szCs w:val="20"/>
              </w:rPr>
              <w:t xml:space="preserve">174</w:t>
            </w:r>
          </w:p>
        </w:tc>
        <w:tc>
          <w:tcPr>
            <w:tcW w:type="dxa" w:w="1500"/>
            <w:shd w:fill="F2F2F2" w:val="clear"/>
            <w:tcMar>
              <w:top w:type="dxa" w:w="60"/>
              <w:left w:type="dxa" w:w="100"/>
              <w:bottom w:type="dxa" w:w="60"/>
              <w:right w:type="dxa" w:w="100"/>
            </w:tcMar>
          </w:tcPr>
          <w:p>
            <w:pPr>
              <w:jc w:val="left"/>
            </w:pPr>
            <w:r>
              <w:rPr>
                <w:color w:val="2D2D2D"/>
                <w:sz w:val="20"/>
                <w:szCs w:val="20"/>
              </w:rPr>
              <w:t xml:space="preserve">212</w:t>
            </w:r>
          </w:p>
        </w:tc>
      </w:tr>
      <w:tr>
        <w:tc>
          <w:tcPr>
            <w:tcW w:type="dxa" w:w="1500"/>
            <w:shd w:fill="FFFFFF" w:val="clear"/>
            <w:tcMar>
              <w:top w:type="dxa" w:w="60"/>
              <w:left w:type="dxa" w:w="100"/>
              <w:bottom w:type="dxa" w:w="60"/>
              <w:right w:type="dxa" w:w="100"/>
            </w:tcMar>
          </w:tcPr>
          <w:p>
            <w:pPr>
              <w:jc w:val="left"/>
            </w:pPr>
            <w:r>
              <w:rPr>
                <w:color w:val="2D2D2D"/>
                <w:sz w:val="20"/>
                <w:szCs w:val="20"/>
              </w:rPr>
              <w:t xml:space="preserve">Teenagers</w:t>
            </w:r>
          </w:p>
        </w:tc>
        <w:tc>
          <w:tcPr>
            <w:tcW w:type="dxa" w:w="1500"/>
            <w:shd w:fill="FFFFFF" w:val="clear"/>
            <w:tcMar>
              <w:top w:type="dxa" w:w="60"/>
              <w:left w:type="dxa" w:w="100"/>
              <w:bottom w:type="dxa" w:w="60"/>
              <w:right w:type="dxa" w:w="100"/>
            </w:tcMar>
          </w:tcPr>
          <w:p>
            <w:pPr>
              <w:jc w:val="left"/>
            </w:pPr>
            <w:r>
              <w:rPr>
                <w:color w:val="2D2D2D"/>
                <w:sz w:val="20"/>
                <w:szCs w:val="20"/>
              </w:rPr>
              <w:t xml:space="preserve">13-17</w:t>
            </w:r>
          </w:p>
        </w:tc>
        <w:tc>
          <w:tcPr>
            <w:tcW w:type="dxa" w:w="1500"/>
            <w:shd w:fill="FFFFFF" w:val="clear"/>
            <w:tcMar>
              <w:top w:type="dxa" w:w="60"/>
              <w:left w:type="dxa" w:w="100"/>
              <w:bottom w:type="dxa" w:w="60"/>
              <w:right w:type="dxa" w:w="100"/>
            </w:tcMar>
          </w:tcPr>
          <w:p>
            <w:pPr>
              <w:jc w:val="left"/>
            </w:pPr>
            <w:r>
              <w:rPr>
                <w:color w:val="2D2D2D"/>
                <w:sz w:val="20"/>
                <w:szCs w:val="20"/>
              </w:rPr>
              <w:t xml:space="preserve">54</w:t>
            </w:r>
          </w:p>
        </w:tc>
        <w:tc>
          <w:tcPr>
            <w:tcW w:type="dxa" w:w="1500"/>
            <w:shd w:fill="FFFFFF" w:val="clear"/>
            <w:tcMar>
              <w:top w:type="dxa" w:w="60"/>
              <w:left w:type="dxa" w:w="100"/>
              <w:bottom w:type="dxa" w:w="60"/>
              <w:right w:type="dxa" w:w="100"/>
            </w:tcMar>
          </w:tcPr>
          <w:p>
            <w:pPr>
              <w:jc w:val="left"/>
            </w:pPr>
            <w:r>
              <w:rPr>
                <w:color w:val="2D2D2D"/>
                <w:sz w:val="20"/>
                <w:szCs w:val="20"/>
              </w:rPr>
              <w:t xml:space="preserve">14</w:t>
            </w:r>
          </w:p>
        </w:tc>
        <w:tc>
          <w:tcPr>
            <w:tcW w:type="dxa" w:w="1500"/>
            <w:shd w:fill="FFFFFF" w:val="clear"/>
            <w:tcMar>
              <w:top w:type="dxa" w:w="60"/>
              <w:left w:type="dxa" w:w="100"/>
              <w:bottom w:type="dxa" w:w="60"/>
              <w:right w:type="dxa" w:w="100"/>
            </w:tcMar>
          </w:tcPr>
          <w:p>
            <w:pPr>
              <w:jc w:val="left"/>
            </w:pPr>
            <w:r>
              <w:rPr>
                <w:color w:val="2D2D2D"/>
                <w:sz w:val="20"/>
                <w:szCs w:val="20"/>
              </w:rPr>
              <w:t xml:space="preserve">0</w:t>
            </w:r>
          </w:p>
        </w:tc>
        <w:tc>
          <w:tcPr>
            <w:tcW w:type="dxa" w:w="1500"/>
            <w:shd w:fill="FFFFFF" w:val="clear"/>
            <w:tcMar>
              <w:top w:type="dxa" w:w="60"/>
              <w:left w:type="dxa" w:w="100"/>
              <w:bottom w:type="dxa" w:w="60"/>
              <w:right w:type="dxa" w:w="100"/>
            </w:tcMar>
          </w:tcPr>
          <w:p>
            <w:pPr>
              <w:jc w:val="left"/>
            </w:pPr>
            <w:r>
              <w:rPr>
                <w:color w:val="2D2D2D"/>
                <w:sz w:val="20"/>
                <w:szCs w:val="20"/>
              </w:rPr>
              <w:t xml:space="preserve">68</w:t>
            </w:r>
          </w:p>
        </w:tc>
      </w:tr>
      <w:tr>
        <w:tc>
          <w:tcPr>
            <w:tcW w:type="dxa" w:w="1500"/>
            <w:shd w:fill="F2F2F2" w:val="clear"/>
            <w:tcMar>
              <w:top w:type="dxa" w:w="60"/>
              <w:left w:type="dxa" w:w="100"/>
              <w:bottom w:type="dxa" w:w="60"/>
              <w:right w:type="dxa" w:w="100"/>
            </w:tcMar>
          </w:tcPr>
          <w:p>
            <w:pPr>
              <w:jc w:val="left"/>
            </w:pPr>
            <w:r>
              <w:rPr>
                <w:color w:val="2D2D2D"/>
                <w:sz w:val="20"/>
                <w:szCs w:val="20"/>
              </w:rPr>
              <w:t xml:space="preserve">Pensioners</w:t>
            </w:r>
          </w:p>
        </w:tc>
        <w:tc>
          <w:tcPr>
            <w:tcW w:type="dxa" w:w="1500"/>
            <w:shd w:fill="F2F2F2" w:val="clear"/>
            <w:tcMar>
              <w:top w:type="dxa" w:w="60"/>
              <w:left w:type="dxa" w:w="100"/>
              <w:bottom w:type="dxa" w:w="60"/>
              <w:right w:type="dxa" w:w="100"/>
            </w:tcMar>
          </w:tcPr>
          <w:p>
            <w:pPr>
              <w:jc w:val="left"/>
            </w:pPr>
            <w:r>
              <w:rPr>
                <w:color w:val="2D2D2D"/>
                <w:sz w:val="20"/>
                <w:szCs w:val="20"/>
              </w:rPr>
              <w:t xml:space="preserve">60+</w:t>
            </w:r>
          </w:p>
        </w:tc>
        <w:tc>
          <w:tcPr>
            <w:tcW w:type="dxa" w:w="1500"/>
            <w:shd w:fill="F2F2F2" w:val="clear"/>
            <w:tcMar>
              <w:top w:type="dxa" w:w="60"/>
              <w:left w:type="dxa" w:w="100"/>
              <w:bottom w:type="dxa" w:w="60"/>
              <w:right w:type="dxa" w:w="100"/>
            </w:tcMar>
          </w:tcPr>
          <w:p>
            <w:pPr>
              <w:jc w:val="left"/>
            </w:pPr>
            <w:r>
              <w:rPr>
                <w:color w:val="2D2D2D"/>
                <w:sz w:val="20"/>
                <w:szCs w:val="20"/>
              </w:rPr>
              <w:t xml:space="preserve">49</w:t>
            </w:r>
          </w:p>
        </w:tc>
        <w:tc>
          <w:tcPr>
            <w:tcW w:type="dxa" w:w="1500"/>
            <w:shd w:fill="F2F2F2" w:val="clear"/>
            <w:tcMar>
              <w:top w:type="dxa" w:w="60"/>
              <w:left w:type="dxa" w:w="100"/>
              <w:bottom w:type="dxa" w:w="60"/>
              <w:right w:type="dxa" w:w="100"/>
            </w:tcMar>
          </w:tcPr>
          <w:p>
            <w:pPr>
              <w:jc w:val="left"/>
            </w:pPr>
            <w:r>
              <w:rPr>
                <w:color w:val="2D2D2D"/>
                <w:sz w:val="20"/>
                <w:szCs w:val="20"/>
              </w:rPr>
              <w:t xml:space="preserve">8</w:t>
            </w:r>
          </w:p>
        </w:tc>
        <w:tc>
          <w:tcPr>
            <w:tcW w:type="dxa" w:w="1500"/>
            <w:shd w:fill="F2F2F2" w:val="clear"/>
            <w:tcMar>
              <w:top w:type="dxa" w:w="60"/>
              <w:left w:type="dxa" w:w="100"/>
              <w:bottom w:type="dxa" w:w="60"/>
              <w:right w:type="dxa" w:w="100"/>
            </w:tcMar>
          </w:tcPr>
          <w:p>
            <w:pPr>
              <w:jc w:val="left"/>
            </w:pPr>
            <w:r>
              <w:rPr>
                <w:color w:val="2D2D2D"/>
                <w:sz w:val="20"/>
                <w:szCs w:val="20"/>
              </w:rPr>
              <w:t xml:space="preserve">0</w:t>
            </w:r>
          </w:p>
        </w:tc>
        <w:tc>
          <w:tcPr>
            <w:tcW w:type="dxa" w:w="1500"/>
            <w:shd w:fill="F2F2F2" w:val="clear"/>
            <w:tcMar>
              <w:top w:type="dxa" w:w="60"/>
              <w:left w:type="dxa" w:w="100"/>
              <w:bottom w:type="dxa" w:w="60"/>
              <w:right w:type="dxa" w:w="100"/>
            </w:tcMar>
          </w:tcPr>
          <w:p>
            <w:pPr>
              <w:jc w:val="left"/>
            </w:pPr>
            <w:r>
              <w:rPr>
                <w:color w:val="2D2D2D"/>
                <w:sz w:val="20"/>
                <w:szCs w:val="20"/>
              </w:rPr>
              <w:t xml:space="preserve">57</w:t>
            </w:r>
          </w:p>
        </w:tc>
      </w:tr>
    </w:tbl>
    <w:p>
      <w:pPr>
        <w:spacing w:after="100" w:before="100"/>
      </w:pPr>
    </w:p>
    <w:p>
      <w:pPr>
        <w:spacing w:after="100" w:before="100"/>
        <w:jc w:val="both"/>
      </w:pPr>
      <w:r>
        <w:rPr>
          <w:color w:val="2D2D2D"/>
          <w:sz w:val="22"/>
          <w:szCs w:val="22"/>
        </w:rPr>
        <w:t xml:space="preserve">Adults (30-59) dominate across all genders, followed by Youth (18-29). A significant drop occurs from Youth to all younger and older segments. Notably, 174 of the 175 unknown gender subscribers fall in the Kids age group, suggesting that parents are creating accounts for children without completing registration profiles — an onboarding issue rather than a data problem.</w:t>
      </w:r>
    </w:p>
    <w:p>
      <w:pPr>
        <w:spacing w:after="100" w:before="100"/>
      </w:pPr>
    </w:p>
    <w:p>
      <w:pPr>
        <w:spacing w:after="100" w:before="100"/>
        <w:jc w:val="both"/>
      </w:pPr>
      <w:r>
        <w:rPr>
          <w:color w:val="2D2D2D"/>
          <w:sz w:val="22"/>
          <w:szCs w:val="22"/>
        </w:rPr>
        <w:t xml:space="preserve">Female teenager subscribers number only 14 — a critically low figure given that teenage girls are among the heaviest consumers of entertainment and social media content globally. This represents a significant untapped audience segment.</w:t>
      </w:r>
    </w:p>
    <w:p>
      <w:pPr>
        <w:spacing w:after="100" w:before="100"/>
      </w:pPr>
    </w:p>
    <w:p>
      <w:pPr>
        <w:pStyle w:val="Heading3"/>
        <w:spacing w:after="100" w:before="200"/>
        <w:rPr>
          <w:b/>
          <w:bCs/>
          <w:color w:val="F2994A"/>
          <w:sz w:val="22"/>
          <w:szCs w:val="22"/>
        </w:rPr>
      </w:pPr>
      <w:r>
        <w:t xml:space="preserve">4.4 Geographic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Rank</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Province</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Performance</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1</w:t>
            </w:r>
          </w:p>
        </w:tc>
        <w:tc>
          <w:tcPr>
            <w:tcW w:type="dxa" w:w="3000"/>
            <w:shd w:fill="F2F2F2" w:val="clear"/>
            <w:tcMar>
              <w:top w:type="dxa" w:w="60"/>
              <w:left w:type="dxa" w:w="100"/>
              <w:bottom w:type="dxa" w:w="60"/>
              <w:right w:type="dxa" w:w="100"/>
            </w:tcMar>
          </w:tcPr>
          <w:p>
            <w:pPr>
              <w:jc w:val="left"/>
            </w:pPr>
            <w:r>
              <w:rPr>
                <w:color w:val="2D2D2D"/>
                <w:sz w:val="20"/>
                <w:szCs w:val="20"/>
              </w:rPr>
              <w:t xml:space="preserve">Gauteng</w:t>
            </w:r>
          </w:p>
        </w:tc>
        <w:tc>
          <w:tcPr>
            <w:tcW w:type="dxa" w:w="3000"/>
            <w:shd w:fill="F2F2F2" w:val="clear"/>
            <w:tcMar>
              <w:top w:type="dxa" w:w="60"/>
              <w:left w:type="dxa" w:w="100"/>
              <w:bottom w:type="dxa" w:w="60"/>
              <w:right w:type="dxa" w:w="100"/>
            </w:tcMar>
          </w:tcPr>
          <w:p>
            <w:pPr>
              <w:jc w:val="left"/>
            </w:pPr>
            <w:r>
              <w:rPr>
                <w:color w:val="2D2D2D"/>
                <w:sz w:val="20"/>
                <w:szCs w:val="20"/>
              </w:rPr>
              <w:t xml:space="preserve">Highest — dominant in both subscribers and consumption</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2</w:t>
            </w:r>
          </w:p>
        </w:tc>
        <w:tc>
          <w:tcPr>
            <w:tcW w:type="dxa" w:w="3000"/>
            <w:shd w:fill="FFFFFF" w:val="clear"/>
            <w:tcMar>
              <w:top w:type="dxa" w:w="60"/>
              <w:left w:type="dxa" w:w="100"/>
              <w:bottom w:type="dxa" w:w="60"/>
              <w:right w:type="dxa" w:w="100"/>
            </w:tcMar>
          </w:tcPr>
          <w:p>
            <w:pPr>
              <w:jc w:val="left"/>
            </w:pPr>
            <w:r>
              <w:rPr>
                <w:color w:val="2D2D2D"/>
                <w:sz w:val="20"/>
                <w:szCs w:val="20"/>
              </w:rPr>
              <w:t xml:space="preserve">Western Cape</w:t>
            </w:r>
          </w:p>
        </w:tc>
        <w:tc>
          <w:tcPr>
            <w:tcW w:type="dxa" w:w="3000"/>
            <w:shd w:fill="FFFFFF" w:val="clear"/>
            <w:tcMar>
              <w:top w:type="dxa" w:w="60"/>
              <w:left w:type="dxa" w:w="100"/>
              <w:bottom w:type="dxa" w:w="60"/>
              <w:right w:type="dxa" w:w="100"/>
            </w:tcMar>
          </w:tcPr>
          <w:p>
            <w:pPr>
              <w:jc w:val="left"/>
            </w:pPr>
            <w:r>
              <w:rPr>
                <w:color w:val="2D2D2D"/>
                <w:sz w:val="20"/>
                <w:szCs w:val="20"/>
              </w:rPr>
              <w:t xml:space="preserve">Strong second</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3</w:t>
            </w:r>
          </w:p>
        </w:tc>
        <w:tc>
          <w:tcPr>
            <w:tcW w:type="dxa" w:w="3000"/>
            <w:shd w:fill="F2F2F2" w:val="clear"/>
            <w:tcMar>
              <w:top w:type="dxa" w:w="60"/>
              <w:left w:type="dxa" w:w="100"/>
              <w:bottom w:type="dxa" w:w="60"/>
              <w:right w:type="dxa" w:w="100"/>
            </w:tcMar>
          </w:tcPr>
          <w:p>
            <w:pPr>
              <w:jc w:val="left"/>
            </w:pPr>
            <w:r>
              <w:rPr>
                <w:color w:val="2D2D2D"/>
                <w:sz w:val="20"/>
                <w:szCs w:val="20"/>
              </w:rPr>
              <w:t xml:space="preserve">KwaZulu-Natal</w:t>
            </w:r>
          </w:p>
        </w:tc>
        <w:tc>
          <w:tcPr>
            <w:tcW w:type="dxa" w:w="3000"/>
            <w:shd w:fill="F2F2F2" w:val="clear"/>
            <w:tcMar>
              <w:top w:type="dxa" w:w="60"/>
              <w:left w:type="dxa" w:w="100"/>
              <w:bottom w:type="dxa" w:w="60"/>
              <w:right w:type="dxa" w:w="100"/>
            </w:tcMar>
          </w:tcPr>
          <w:p>
            <w:pPr>
              <w:jc w:val="left"/>
            </w:pPr>
            <w:r>
              <w:rPr>
                <w:color w:val="2D2D2D"/>
                <w:sz w:val="20"/>
                <w:szCs w:val="20"/>
              </w:rPr>
              <w:t xml:space="preserve">Consistent third</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4</w:t>
            </w:r>
          </w:p>
        </w:tc>
        <w:tc>
          <w:tcPr>
            <w:tcW w:type="dxa" w:w="3000"/>
            <w:shd w:fill="FFFFFF" w:val="clear"/>
            <w:tcMar>
              <w:top w:type="dxa" w:w="60"/>
              <w:left w:type="dxa" w:w="100"/>
              <w:bottom w:type="dxa" w:w="60"/>
              <w:right w:type="dxa" w:w="100"/>
            </w:tcMar>
          </w:tcPr>
          <w:p>
            <w:pPr>
              <w:jc w:val="left"/>
            </w:pPr>
            <w:r>
              <w:rPr>
                <w:color w:val="2D2D2D"/>
                <w:sz w:val="20"/>
                <w:szCs w:val="20"/>
              </w:rPr>
              <w:t xml:space="preserve">Mpumalanga</w:t>
            </w:r>
          </w:p>
        </w:tc>
        <w:tc>
          <w:tcPr>
            <w:tcW w:type="dxa" w:w="3000"/>
            <w:shd w:fill="FFFFFF" w:val="clear"/>
            <w:tcMar>
              <w:top w:type="dxa" w:w="60"/>
              <w:left w:type="dxa" w:w="100"/>
              <w:bottom w:type="dxa" w:w="60"/>
              <w:right w:type="dxa" w:w="100"/>
            </w:tcMar>
          </w:tcPr>
          <w:p>
            <w:pPr>
              <w:jc w:val="left"/>
            </w:pPr>
            <w:r>
              <w:rPr>
                <w:color w:val="2D2D2D"/>
                <w:sz w:val="20"/>
                <w:szCs w:val="20"/>
              </w:rPr>
              <w:t xml:space="preserve">Notable — high consumption relative to subscriber count</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5</w:t>
            </w:r>
          </w:p>
        </w:tc>
        <w:tc>
          <w:tcPr>
            <w:tcW w:type="dxa" w:w="3000"/>
            <w:shd w:fill="F2F2F2" w:val="clear"/>
            <w:tcMar>
              <w:top w:type="dxa" w:w="60"/>
              <w:left w:type="dxa" w:w="100"/>
              <w:bottom w:type="dxa" w:w="60"/>
              <w:right w:type="dxa" w:w="100"/>
            </w:tcMar>
          </w:tcPr>
          <w:p>
            <w:pPr>
              <w:jc w:val="left"/>
            </w:pPr>
            <w:r>
              <w:rPr>
                <w:color w:val="2D2D2D"/>
                <w:sz w:val="20"/>
                <w:szCs w:val="20"/>
              </w:rPr>
              <w:t xml:space="preserve">Limpopo</w:t>
            </w:r>
          </w:p>
        </w:tc>
        <w:tc>
          <w:tcPr>
            <w:tcW w:type="dxa" w:w="3000"/>
            <w:shd w:fill="F2F2F2" w:val="clear"/>
            <w:tcMar>
              <w:top w:type="dxa" w:w="60"/>
              <w:left w:type="dxa" w:w="100"/>
              <w:bottom w:type="dxa" w:w="60"/>
              <w:right w:type="dxa" w:w="100"/>
            </w:tcMar>
          </w:tcPr>
          <w:p>
            <w:pPr>
              <w:jc w:val="left"/>
            </w:pPr>
            <w:r>
              <w:rPr>
                <w:color w:val="2D2D2D"/>
                <w:sz w:val="20"/>
                <w:szCs w:val="20"/>
              </w:rPr>
              <w:t xml:space="preserve">Mid-tier</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6</w:t>
            </w:r>
          </w:p>
        </w:tc>
        <w:tc>
          <w:tcPr>
            <w:tcW w:type="dxa" w:w="3000"/>
            <w:shd w:fill="FFFFFF" w:val="clear"/>
            <w:tcMar>
              <w:top w:type="dxa" w:w="60"/>
              <w:left w:type="dxa" w:w="100"/>
              <w:bottom w:type="dxa" w:w="60"/>
              <w:right w:type="dxa" w:w="100"/>
            </w:tcMar>
          </w:tcPr>
          <w:p>
            <w:pPr>
              <w:jc w:val="left"/>
            </w:pPr>
            <w:r>
              <w:rPr>
                <w:color w:val="2D2D2D"/>
                <w:sz w:val="20"/>
                <w:szCs w:val="20"/>
              </w:rPr>
              <w:t xml:space="preserve">Eastern Cape</w:t>
            </w:r>
          </w:p>
        </w:tc>
        <w:tc>
          <w:tcPr>
            <w:tcW w:type="dxa" w:w="3000"/>
            <w:shd w:fill="FFFFFF" w:val="clear"/>
            <w:tcMar>
              <w:top w:type="dxa" w:w="60"/>
              <w:left w:type="dxa" w:w="100"/>
              <w:bottom w:type="dxa" w:w="60"/>
              <w:right w:type="dxa" w:w="100"/>
            </w:tcMar>
          </w:tcPr>
          <w:p>
            <w:pPr>
              <w:jc w:val="left"/>
            </w:pPr>
            <w:r>
              <w:rPr>
                <w:color w:val="2D2D2D"/>
                <w:sz w:val="20"/>
                <w:szCs w:val="20"/>
              </w:rPr>
              <w:t xml:space="preserve">Mid-tier</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7</w:t>
            </w:r>
          </w:p>
        </w:tc>
        <w:tc>
          <w:tcPr>
            <w:tcW w:type="dxa" w:w="3000"/>
            <w:shd w:fill="F2F2F2" w:val="clear"/>
            <w:tcMar>
              <w:top w:type="dxa" w:w="60"/>
              <w:left w:type="dxa" w:w="100"/>
              <w:bottom w:type="dxa" w:w="60"/>
              <w:right w:type="dxa" w:w="100"/>
            </w:tcMar>
          </w:tcPr>
          <w:p>
            <w:pPr>
              <w:jc w:val="left"/>
            </w:pPr>
            <w:r>
              <w:rPr>
                <w:color w:val="2D2D2D"/>
                <w:sz w:val="20"/>
                <w:szCs w:val="20"/>
              </w:rPr>
              <w:t xml:space="preserve">North West</w:t>
            </w:r>
          </w:p>
        </w:tc>
        <w:tc>
          <w:tcPr>
            <w:tcW w:type="dxa" w:w="3000"/>
            <w:shd w:fill="F2F2F2" w:val="clear"/>
            <w:tcMar>
              <w:top w:type="dxa" w:w="60"/>
              <w:left w:type="dxa" w:w="100"/>
              <w:bottom w:type="dxa" w:w="60"/>
              <w:right w:type="dxa" w:w="100"/>
            </w:tcMar>
          </w:tcPr>
          <w:p>
            <w:pPr>
              <w:jc w:val="left"/>
            </w:pPr>
            <w:r>
              <w:rPr>
                <w:color w:val="2D2D2D"/>
                <w:sz w:val="20"/>
                <w:szCs w:val="20"/>
              </w:rPr>
              <w:t xml:space="preserve">Low — intervention required</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8</w:t>
            </w:r>
          </w:p>
        </w:tc>
        <w:tc>
          <w:tcPr>
            <w:tcW w:type="dxa" w:w="3000"/>
            <w:shd w:fill="FFFFFF" w:val="clear"/>
            <w:tcMar>
              <w:top w:type="dxa" w:w="60"/>
              <w:left w:type="dxa" w:w="100"/>
              <w:bottom w:type="dxa" w:w="60"/>
              <w:right w:type="dxa" w:w="100"/>
            </w:tcMar>
          </w:tcPr>
          <w:p>
            <w:pPr>
              <w:jc w:val="left"/>
            </w:pPr>
            <w:r>
              <w:rPr>
                <w:color w:val="2D2D2D"/>
                <w:sz w:val="20"/>
                <w:szCs w:val="20"/>
              </w:rPr>
              <w:t xml:space="preserve">Free State</w:t>
            </w:r>
          </w:p>
        </w:tc>
        <w:tc>
          <w:tcPr>
            <w:tcW w:type="dxa" w:w="3000"/>
            <w:shd w:fill="FFFFFF" w:val="clear"/>
            <w:tcMar>
              <w:top w:type="dxa" w:w="60"/>
              <w:left w:type="dxa" w:w="100"/>
              <w:bottom w:type="dxa" w:w="60"/>
              <w:right w:type="dxa" w:w="100"/>
            </w:tcMar>
          </w:tcPr>
          <w:p>
            <w:pPr>
              <w:jc w:val="left"/>
            </w:pPr>
            <w:r>
              <w:rPr>
                <w:color w:val="2D2D2D"/>
                <w:sz w:val="20"/>
                <w:szCs w:val="20"/>
              </w:rPr>
              <w:t xml:space="preserve">Low — intervention required</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9</w:t>
            </w:r>
          </w:p>
        </w:tc>
        <w:tc>
          <w:tcPr>
            <w:tcW w:type="dxa" w:w="3000"/>
            <w:shd w:fill="F2F2F2" w:val="clear"/>
            <w:tcMar>
              <w:top w:type="dxa" w:w="60"/>
              <w:left w:type="dxa" w:w="100"/>
              <w:bottom w:type="dxa" w:w="60"/>
              <w:right w:type="dxa" w:w="100"/>
            </w:tcMar>
          </w:tcPr>
          <w:p>
            <w:pPr>
              <w:jc w:val="left"/>
            </w:pPr>
            <w:r>
              <w:rPr>
                <w:color w:val="2D2D2D"/>
                <w:sz w:val="20"/>
                <w:szCs w:val="20"/>
              </w:rPr>
              <w:t xml:space="preserve">Northern Cape</w:t>
            </w:r>
          </w:p>
        </w:tc>
        <w:tc>
          <w:tcPr>
            <w:tcW w:type="dxa" w:w="3000"/>
            <w:shd w:fill="F2F2F2" w:val="clear"/>
            <w:tcMar>
              <w:top w:type="dxa" w:w="60"/>
              <w:left w:type="dxa" w:w="100"/>
              <w:bottom w:type="dxa" w:w="60"/>
              <w:right w:type="dxa" w:w="100"/>
            </w:tcMar>
          </w:tcPr>
          <w:p>
            <w:pPr>
              <w:jc w:val="left"/>
            </w:pPr>
            <w:r>
              <w:rPr>
                <w:color w:val="2D2D2D"/>
                <w:sz w:val="20"/>
                <w:szCs w:val="20"/>
              </w:rPr>
              <w:t xml:space="preserve">Lowest — intervention required</w:t>
            </w:r>
          </w:p>
        </w:tc>
      </w:tr>
    </w:tbl>
    <w:p>
      <w:pPr>
        <w:spacing w:after="100" w:before="100"/>
      </w:pPr>
    </w:p>
    <w:p>
      <w:pPr>
        <w:spacing w:after="100" w:before="100"/>
        <w:jc w:val="both"/>
      </w:pPr>
      <w:r>
        <w:rPr>
          <w:color w:val="2D2D2D"/>
          <w:sz w:val="22"/>
          <w:szCs w:val="22"/>
        </w:rPr>
        <w:t xml:space="preserve">The bottom 3 provinces (Northern Cape, Free State, North West) underperform consistently for both male and female subscribers — indicating a geographic targeting opportunity rather than a gender-specific issue in those regions.</w:t>
      </w:r>
    </w:p>
    <w:p>
      <w:pPr>
        <w:spacing w:after="100" w:before="100"/>
      </w:pPr>
    </w:p>
    <w:p>
      <w:pPr>
        <w:pStyle w:val="Heading3"/>
        <w:spacing w:after="100" w:before="200"/>
        <w:rPr>
          <w:b/>
          <w:bCs/>
          <w:color w:val="F2994A"/>
          <w:sz w:val="22"/>
          <w:szCs w:val="22"/>
        </w:rPr>
      </w:pPr>
      <w:r>
        <w:t xml:space="preserve">4.5 Race Distribution</w:t>
      </w:r>
    </w:p>
    <w:p>
      <w:pPr>
        <w:spacing w:after="100" w:before="100"/>
        <w:jc w:val="both"/>
      </w:pPr>
      <w:r>
        <w:rPr>
          <w:color w:val="2D2D2D"/>
          <w:sz w:val="22"/>
          <w:szCs w:val="22"/>
        </w:rPr>
        <w:t xml:space="preserve">Race distribution mirrors South Africa's general population demographics with Black subscribers forming the largest segment, followed by White and Coloured. This reflects BrightTV's current content positioning but highlights an opportunity to attract underrepresented communities through multilingual and culturally diverse content.</w:t>
      </w:r>
    </w:p>
    <w:p>
      <w:r>
        <w:br w:type="page"/>
      </w:r>
    </w:p>
    <w:p>
      <w:pPr>
        <w:pStyle w:val="Heading1"/>
        <w:spacing w:after="200" w:before="400"/>
        <w:rPr>
          <w:b/>
          <w:bCs/>
          <w:color w:val="1B3A6B"/>
          <w:sz w:val="28"/>
          <w:szCs w:val="28"/>
        </w:rPr>
      </w:pPr>
      <w:r>
        <w:t xml:space="preserve">5. Findings — Time Trends</w:t>
      </w:r>
    </w:p>
    <w:p>
      <w:pPr>
        <w:pStyle w:val="Heading2"/>
        <w:spacing w:after="150" w:before="300"/>
        <w:rPr>
          <w:b/>
          <w:bCs/>
          <w:color w:val="1B3A6B"/>
          <w:sz w:val="24"/>
          <w:szCs w:val="24"/>
        </w:rPr>
      </w:pPr>
      <w:r>
        <w:t xml:space="preserve">When are they watching?</w:t>
      </w:r>
    </w:p>
    <w:p>
      <w:pPr>
        <w:spacing w:after="100" w:before="100"/>
      </w:pPr>
    </w:p>
    <w:p>
      <w:pPr>
        <w:pStyle w:val="Heading3"/>
        <w:spacing w:after="100" w:before="200"/>
        <w:rPr>
          <w:b/>
          <w:bCs/>
          <w:color w:val="F2994A"/>
          <w:sz w:val="22"/>
          <w:szCs w:val="22"/>
        </w:rPr>
      </w:pPr>
      <w:r>
        <w:t xml:space="preserve">5.1 Monthly Consumption Trend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Month</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Total Minutes Watched</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Month-on-Month Change</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January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16,550 minutes</w:t>
            </w:r>
          </w:p>
        </w:tc>
        <w:tc>
          <w:tcPr>
            <w:tcW w:type="dxa" w:w="3000"/>
            <w:shd w:fill="F2F2F2" w:val="clear"/>
            <w:tcMar>
              <w:top w:type="dxa" w:w="60"/>
              <w:left w:type="dxa" w:w="100"/>
              <w:bottom w:type="dxa" w:w="60"/>
              <w:right w:type="dxa" w:w="100"/>
            </w:tcMar>
          </w:tcPr>
          <w:p>
            <w:pPr>
              <w:jc w:val="left"/>
            </w:pPr>
            <w:r>
              <w:rPr>
                <w:color w:val="2D2D2D"/>
                <w:sz w:val="20"/>
                <w:szCs w:val="20"/>
              </w:rPr>
              <w:t xml:space="preserve">Baseline</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February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22,340 minutes</w:t>
            </w:r>
          </w:p>
        </w:tc>
        <w:tc>
          <w:tcPr>
            <w:tcW w:type="dxa" w:w="3000"/>
            <w:shd w:fill="FFFFFF" w:val="clear"/>
            <w:tcMar>
              <w:top w:type="dxa" w:w="60"/>
              <w:left w:type="dxa" w:w="100"/>
              <w:bottom w:type="dxa" w:w="60"/>
              <w:right w:type="dxa" w:w="100"/>
            </w:tcMar>
          </w:tcPr>
          <w:p>
            <w:pPr>
              <w:jc w:val="left"/>
            </w:pPr>
            <w:r>
              <w:rPr>
                <w:color w:val="2D2D2D"/>
                <w:sz w:val="20"/>
                <w:szCs w:val="20"/>
              </w:rPr>
              <w:t xml:space="preserve">+35% vs January</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March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48,310 minutes</w:t>
            </w:r>
          </w:p>
        </w:tc>
        <w:tc>
          <w:tcPr>
            <w:tcW w:type="dxa" w:w="3000"/>
            <w:shd w:fill="F2F2F2" w:val="clear"/>
            <w:tcMar>
              <w:top w:type="dxa" w:w="60"/>
              <w:left w:type="dxa" w:w="100"/>
              <w:bottom w:type="dxa" w:w="60"/>
              <w:right w:type="dxa" w:w="100"/>
            </w:tcMar>
          </w:tcPr>
          <w:p>
            <w:pPr>
              <w:jc w:val="left"/>
            </w:pPr>
            <w:r>
              <w:rPr>
                <w:color w:val="2D2D2D"/>
                <w:sz w:val="20"/>
                <w:szCs w:val="20"/>
              </w:rPr>
              <w:t xml:space="preserve">+116% vs February, +192% vs January</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April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7 minutes</w:t>
            </w:r>
          </w:p>
        </w:tc>
        <w:tc>
          <w:tcPr>
            <w:tcW w:type="dxa" w:w="3000"/>
            <w:shd w:fill="FFFFFF" w:val="clear"/>
            <w:tcMar>
              <w:top w:type="dxa" w:w="60"/>
              <w:left w:type="dxa" w:w="100"/>
              <w:bottom w:type="dxa" w:w="60"/>
              <w:right w:type="dxa" w:w="100"/>
            </w:tcMar>
          </w:tcPr>
          <w:p>
            <w:pPr>
              <w:jc w:val="left"/>
            </w:pPr>
            <w:r>
              <w:rPr>
                <w:color w:val="2D2D2D"/>
                <w:sz w:val="20"/>
                <w:szCs w:val="20"/>
              </w:rPr>
              <w:t xml:space="preserve">Incomplete data — excluded from analysis</w:t>
            </w:r>
          </w:p>
        </w:tc>
      </w:tr>
    </w:tbl>
    <w:p>
      <w:pPr>
        <w:spacing w:after="100" w:before="100"/>
      </w:pPr>
    </w:p>
    <w:p>
      <w:pPr>
        <w:spacing w:after="100" w:before="100"/>
        <w:jc w:val="both"/>
      </w:pPr>
      <w:r>
        <w:rPr>
          <w:color w:val="2D2D2D"/>
          <w:sz w:val="22"/>
          <w:szCs w:val="22"/>
        </w:rPr>
        <w:t xml:space="preserve">BrightTV recorded exceptional month-on-month growth across the 3-month data period, with total minutes watched growing by 192% from January to March 2026. This is a strongly positive trajectory that demonstrates increasing audience engagement. April's data is incomplete (only 1-2 sessions recorded) and has been excluded from trend analysis.</w:t>
      </w:r>
    </w:p>
    <w:p>
      <w:pPr>
        <w:spacing w:after="100" w:before="100"/>
      </w:pPr>
    </w:p>
    <w:p>
      <w:pPr>
        <w:spacing w:after="100" w:before="100"/>
        <w:jc w:val="both"/>
      </w:pPr>
      <w:r>
        <w:rPr>
          <w:color w:val="2D2D2D"/>
          <w:sz w:val="22"/>
          <w:szCs w:val="22"/>
        </w:rPr>
        <w:t xml:space="preserve">The March spike to 48,310 minutes warrants specific investigation — identifying the content and campaigns that drove this result is critical to replicating the performance in subsequent months.</w:t>
      </w:r>
    </w:p>
    <w:p>
      <w:pPr>
        <w:spacing w:after="100" w:before="100"/>
      </w:pPr>
    </w:p>
    <w:p>
      <w:pPr>
        <w:pStyle w:val="Heading3"/>
        <w:spacing w:after="100" w:before="200"/>
        <w:rPr>
          <w:b/>
          <w:bCs/>
          <w:color w:val="F2994A"/>
          <w:sz w:val="22"/>
          <w:szCs w:val="22"/>
        </w:rPr>
      </w:pPr>
      <w:r>
        <w:t xml:space="preserve">5.2 Peak Viewing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Month</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Peak Hour</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SA Time</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January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Hour 17</w:t>
            </w:r>
          </w:p>
        </w:tc>
        <w:tc>
          <w:tcPr>
            <w:tcW w:type="dxa" w:w="3000"/>
            <w:shd w:fill="F2F2F2" w:val="clear"/>
            <w:tcMar>
              <w:top w:type="dxa" w:w="60"/>
              <w:left w:type="dxa" w:w="100"/>
              <w:bottom w:type="dxa" w:w="60"/>
              <w:right w:type="dxa" w:w="100"/>
            </w:tcMar>
          </w:tcPr>
          <w:p>
            <w:pPr>
              <w:jc w:val="left"/>
            </w:pPr>
            <w:r>
              <w:rPr>
                <w:color w:val="2D2D2D"/>
                <w:sz w:val="20"/>
                <w:szCs w:val="20"/>
              </w:rPr>
              <w:t xml:space="preserve">5:00 PM</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February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Hour 18</w:t>
            </w:r>
          </w:p>
        </w:tc>
        <w:tc>
          <w:tcPr>
            <w:tcW w:type="dxa" w:w="3000"/>
            <w:shd w:fill="FFFFFF" w:val="clear"/>
            <w:tcMar>
              <w:top w:type="dxa" w:w="60"/>
              <w:left w:type="dxa" w:w="100"/>
              <w:bottom w:type="dxa" w:w="60"/>
              <w:right w:type="dxa" w:w="100"/>
            </w:tcMar>
          </w:tcPr>
          <w:p>
            <w:pPr>
              <w:jc w:val="left"/>
            </w:pPr>
            <w:r>
              <w:rPr>
                <w:color w:val="2D2D2D"/>
                <w:sz w:val="20"/>
                <w:szCs w:val="20"/>
              </w:rPr>
              <w:t xml:space="preserve">6:00 PM</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March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Hour 17</w:t>
            </w:r>
          </w:p>
        </w:tc>
        <w:tc>
          <w:tcPr>
            <w:tcW w:type="dxa" w:w="3000"/>
            <w:shd w:fill="F2F2F2" w:val="clear"/>
            <w:tcMar>
              <w:top w:type="dxa" w:w="60"/>
              <w:left w:type="dxa" w:w="100"/>
              <w:bottom w:type="dxa" w:w="60"/>
              <w:right w:type="dxa" w:w="100"/>
            </w:tcMar>
          </w:tcPr>
          <w:p>
            <w:pPr>
              <w:jc w:val="left"/>
            </w:pPr>
            <w:r>
              <w:rPr>
                <w:color w:val="2D2D2D"/>
                <w:sz w:val="20"/>
                <w:szCs w:val="20"/>
              </w:rPr>
              <w:t xml:space="preserve">5:00 PM</w:t>
            </w:r>
          </w:p>
        </w:tc>
      </w:tr>
    </w:tbl>
    <w:p>
      <w:pPr>
        <w:spacing w:after="100" w:before="100"/>
      </w:pPr>
    </w:p>
    <w:p>
      <w:pPr>
        <w:spacing w:after="100" w:before="100"/>
        <w:jc w:val="both"/>
      </w:pPr>
      <w:r>
        <w:rPr>
          <w:color w:val="2D2D2D"/>
          <w:sz w:val="22"/>
          <w:szCs w:val="22"/>
        </w:rPr>
        <w:t xml:space="preserve">Peak viewing consistently falls in the 17:00-18:00 window (5pm-6pm SA time) across all three months. This is the after-work and after-school window when subscribers arrive home and settle in for television viewing. Viewership starts low in early morning hours (school and work departure), builds gradually through the day, peaks at 17:00-18:00, then declines into late evening.</w:t>
      </w:r>
    </w:p>
    <w:p>
      <w:pPr>
        <w:spacing w:after="100" w:before="100"/>
      </w:pPr>
    </w:p>
    <w:p>
      <w:pPr>
        <w:pStyle w:val="Heading3"/>
        <w:spacing w:after="100" w:before="200"/>
        <w:rPr>
          <w:b/>
          <w:bCs/>
          <w:color w:val="F2994A"/>
          <w:sz w:val="22"/>
          <w:szCs w:val="22"/>
        </w:rPr>
      </w:pPr>
      <w:r>
        <w:t xml:space="preserve">5.3 Day of Week Consumption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Month</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Top Performing Days</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Lowest Performing Days</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January</w:t>
            </w:r>
          </w:p>
        </w:tc>
        <w:tc>
          <w:tcPr>
            <w:tcW w:type="dxa" w:w="3000"/>
            <w:shd w:fill="F2F2F2" w:val="clear"/>
            <w:tcMar>
              <w:top w:type="dxa" w:w="60"/>
              <w:left w:type="dxa" w:w="100"/>
              <w:bottom w:type="dxa" w:w="60"/>
              <w:right w:type="dxa" w:w="100"/>
            </w:tcMar>
          </w:tcPr>
          <w:p>
            <w:pPr>
              <w:jc w:val="left"/>
            </w:pPr>
            <w:r>
              <w:rPr>
                <w:color w:val="2D2D2D"/>
                <w:sz w:val="20"/>
                <w:szCs w:val="20"/>
              </w:rPr>
              <w:t xml:space="preserve">Saturday, Thursday, Friday</w:t>
            </w:r>
          </w:p>
        </w:tc>
        <w:tc>
          <w:tcPr>
            <w:tcW w:type="dxa" w:w="3000"/>
            <w:shd w:fill="F2F2F2" w:val="clear"/>
            <w:tcMar>
              <w:top w:type="dxa" w:w="60"/>
              <w:left w:type="dxa" w:w="100"/>
              <w:bottom w:type="dxa" w:w="60"/>
              <w:right w:type="dxa" w:w="100"/>
            </w:tcMar>
          </w:tcPr>
          <w:p>
            <w:pPr>
              <w:jc w:val="left"/>
            </w:pPr>
            <w:r>
              <w:rPr>
                <w:color w:val="2D2D2D"/>
                <w:sz w:val="20"/>
                <w:szCs w:val="20"/>
              </w:rPr>
              <w:t xml:space="preserve">Tuesday, Monday</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February</w:t>
            </w:r>
          </w:p>
        </w:tc>
        <w:tc>
          <w:tcPr>
            <w:tcW w:type="dxa" w:w="3000"/>
            <w:shd w:fill="FFFFFF" w:val="clear"/>
            <w:tcMar>
              <w:top w:type="dxa" w:w="60"/>
              <w:left w:type="dxa" w:w="100"/>
              <w:bottom w:type="dxa" w:w="60"/>
              <w:right w:type="dxa" w:w="100"/>
            </w:tcMar>
          </w:tcPr>
          <w:p>
            <w:pPr>
              <w:jc w:val="left"/>
            </w:pPr>
            <w:r>
              <w:rPr>
                <w:color w:val="2D2D2D"/>
                <w:sz w:val="20"/>
                <w:szCs w:val="20"/>
              </w:rPr>
              <w:t xml:space="preserve">Friday, Saturday, Thursday</w:t>
            </w:r>
          </w:p>
        </w:tc>
        <w:tc>
          <w:tcPr>
            <w:tcW w:type="dxa" w:w="3000"/>
            <w:shd w:fill="FFFFFF" w:val="clear"/>
            <w:tcMar>
              <w:top w:type="dxa" w:w="60"/>
              <w:left w:type="dxa" w:w="100"/>
              <w:bottom w:type="dxa" w:w="60"/>
              <w:right w:type="dxa" w:w="100"/>
            </w:tcMar>
          </w:tcPr>
          <w:p>
            <w:pPr>
              <w:jc w:val="left"/>
            </w:pPr>
            <w:r>
              <w:rPr>
                <w:color w:val="2D2D2D"/>
                <w:sz w:val="20"/>
                <w:szCs w:val="20"/>
              </w:rPr>
              <w:t xml:space="preserve">Monday, Wednesday, Sunday</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March</w:t>
            </w:r>
          </w:p>
        </w:tc>
        <w:tc>
          <w:tcPr>
            <w:tcW w:type="dxa" w:w="3000"/>
            <w:shd w:fill="F2F2F2" w:val="clear"/>
            <w:tcMar>
              <w:top w:type="dxa" w:w="60"/>
              <w:left w:type="dxa" w:w="100"/>
              <w:bottom w:type="dxa" w:w="60"/>
              <w:right w:type="dxa" w:w="100"/>
            </w:tcMar>
          </w:tcPr>
          <w:p>
            <w:pPr>
              <w:jc w:val="left"/>
            </w:pPr>
            <w:r>
              <w:rPr>
                <w:color w:val="2D2D2D"/>
                <w:sz w:val="20"/>
                <w:szCs w:val="20"/>
              </w:rPr>
              <w:t xml:space="preserve">Saturday, Wednesday, Thursday</w:t>
            </w:r>
          </w:p>
        </w:tc>
        <w:tc>
          <w:tcPr>
            <w:tcW w:type="dxa" w:w="3000"/>
            <w:shd w:fill="F2F2F2" w:val="clear"/>
            <w:tcMar>
              <w:top w:type="dxa" w:w="60"/>
              <w:left w:type="dxa" w:w="100"/>
              <w:bottom w:type="dxa" w:w="60"/>
              <w:right w:type="dxa" w:w="100"/>
            </w:tcMar>
          </w:tcPr>
          <w:p>
            <w:pPr>
              <w:jc w:val="left"/>
            </w:pPr>
            <w:r>
              <w:rPr>
                <w:color w:val="2D2D2D"/>
                <w:sz w:val="20"/>
                <w:szCs w:val="20"/>
              </w:rPr>
              <w:t xml:space="preserve">Tuesday, Sunday, Monday</w:t>
            </w:r>
          </w:p>
        </w:tc>
      </w:tr>
    </w:tbl>
    <w:p>
      <w:pPr>
        <w:spacing w:after="100" w:before="100"/>
      </w:pPr>
    </w:p>
    <w:p>
      <w:pPr>
        <w:spacing w:after="100" w:before="100"/>
        <w:jc w:val="both"/>
      </w:pPr>
      <w:r>
        <w:rPr>
          <w:color w:val="2D2D2D"/>
          <w:sz w:val="22"/>
          <w:szCs w:val="22"/>
        </w:rPr>
        <w:t xml:space="preserve">Saturday is the strongest viewing day across all three months without exception. Thursday and Friday are consistently strong performers. Monday and Tuesday are consistently the lowest consumption days across all months — a pattern attributed to the Monday blues effect, where subscribers are transitioning back to work and school routines after weekends and are less likely to engage with television content.</w:t>
      </w:r>
    </w:p>
    <w:p>
      <w:pPr>
        <w:spacing w:after="100" w:before="100"/>
      </w:pPr>
    </w:p>
    <w:p>
      <w:pPr>
        <w:pStyle w:val="Heading3"/>
        <w:spacing w:after="100" w:before="200"/>
        <w:rPr>
          <w:b/>
          <w:bCs/>
          <w:color w:val="F2994A"/>
          <w:sz w:val="22"/>
          <w:szCs w:val="22"/>
        </w:rPr>
      </w:pPr>
      <w:r>
        <w:t xml:space="preserve">5.4 Lowest Consumption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Rank</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Date</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Observation</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1</w:t>
            </w:r>
          </w:p>
        </w:tc>
        <w:tc>
          <w:tcPr>
            <w:tcW w:type="dxa" w:w="3000"/>
            <w:shd w:fill="F2F2F2" w:val="clear"/>
            <w:tcMar>
              <w:top w:type="dxa" w:w="60"/>
              <w:left w:type="dxa" w:w="100"/>
              <w:bottom w:type="dxa" w:w="60"/>
              <w:right w:type="dxa" w:w="100"/>
            </w:tcMar>
          </w:tcPr>
          <w:p>
            <w:pPr>
              <w:jc w:val="left"/>
            </w:pPr>
            <w:r>
              <w:rPr>
                <w:color w:val="2D2D2D"/>
                <w:sz w:val="20"/>
                <w:szCs w:val="20"/>
              </w:rPr>
              <w:t xml:space="preserve">01 January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New Year's Day — expected low, people out celebrating</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2</w:t>
            </w:r>
          </w:p>
        </w:tc>
        <w:tc>
          <w:tcPr>
            <w:tcW w:type="dxa" w:w="3000"/>
            <w:shd w:fill="FFFFFF" w:val="clear"/>
            <w:tcMar>
              <w:top w:type="dxa" w:w="60"/>
              <w:left w:type="dxa" w:w="100"/>
              <w:bottom w:type="dxa" w:w="60"/>
              <w:right w:type="dxa" w:w="100"/>
            </w:tcMar>
          </w:tcPr>
          <w:p>
            <w:pPr>
              <w:jc w:val="left"/>
            </w:pPr>
            <w:r>
              <w:rPr>
                <w:color w:val="2D2D2D"/>
                <w:sz w:val="20"/>
                <w:szCs w:val="20"/>
              </w:rPr>
              <w:t xml:space="preserve">12 January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Post-holiday period</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3</w:t>
            </w:r>
          </w:p>
        </w:tc>
        <w:tc>
          <w:tcPr>
            <w:tcW w:type="dxa" w:w="3000"/>
            <w:shd w:fill="F2F2F2" w:val="clear"/>
            <w:tcMar>
              <w:top w:type="dxa" w:w="60"/>
              <w:left w:type="dxa" w:w="100"/>
              <w:bottom w:type="dxa" w:w="60"/>
              <w:right w:type="dxa" w:w="100"/>
            </w:tcMar>
          </w:tcPr>
          <w:p>
            <w:pPr>
              <w:jc w:val="left"/>
            </w:pPr>
            <w:r>
              <w:rPr>
                <w:color w:val="2D2D2D"/>
                <w:sz w:val="20"/>
                <w:szCs w:val="20"/>
              </w:rPr>
              <w:t xml:space="preserve">15 January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Post-holiday period</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4</w:t>
            </w:r>
          </w:p>
        </w:tc>
        <w:tc>
          <w:tcPr>
            <w:tcW w:type="dxa" w:w="3000"/>
            <w:shd w:fill="FFFFFF" w:val="clear"/>
            <w:tcMar>
              <w:top w:type="dxa" w:w="60"/>
              <w:left w:type="dxa" w:w="100"/>
              <w:bottom w:type="dxa" w:w="60"/>
              <w:right w:type="dxa" w:w="100"/>
            </w:tcMar>
          </w:tcPr>
          <w:p>
            <w:pPr>
              <w:jc w:val="left"/>
            </w:pPr>
            <w:r>
              <w:rPr>
                <w:color w:val="2D2D2D"/>
                <w:sz w:val="20"/>
                <w:szCs w:val="20"/>
              </w:rPr>
              <w:t xml:space="preserve">17 January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Post-holiday period</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5</w:t>
            </w:r>
          </w:p>
        </w:tc>
        <w:tc>
          <w:tcPr>
            <w:tcW w:type="dxa" w:w="3000"/>
            <w:shd w:fill="F2F2F2" w:val="clear"/>
            <w:tcMar>
              <w:top w:type="dxa" w:w="60"/>
              <w:left w:type="dxa" w:w="100"/>
              <w:bottom w:type="dxa" w:w="60"/>
              <w:right w:type="dxa" w:w="100"/>
            </w:tcMar>
          </w:tcPr>
          <w:p>
            <w:pPr>
              <w:jc w:val="left"/>
            </w:pPr>
            <w:r>
              <w:rPr>
                <w:color w:val="2D2D2D"/>
                <w:sz w:val="20"/>
                <w:szCs w:val="20"/>
              </w:rPr>
              <w:t xml:space="preserve">19 January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Post-holiday period</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6</w:t>
            </w:r>
          </w:p>
        </w:tc>
        <w:tc>
          <w:tcPr>
            <w:tcW w:type="dxa" w:w="3000"/>
            <w:shd w:fill="FFFFFF" w:val="clear"/>
            <w:tcMar>
              <w:top w:type="dxa" w:w="60"/>
              <w:left w:type="dxa" w:w="100"/>
              <w:bottom w:type="dxa" w:w="60"/>
              <w:right w:type="dxa" w:w="100"/>
            </w:tcMar>
          </w:tcPr>
          <w:p>
            <w:pPr>
              <w:jc w:val="left"/>
            </w:pPr>
            <w:r>
              <w:rPr>
                <w:color w:val="2D2D2D"/>
                <w:sz w:val="20"/>
                <w:szCs w:val="20"/>
              </w:rPr>
              <w:t xml:space="preserve">08 February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February low point</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7</w:t>
            </w:r>
          </w:p>
        </w:tc>
        <w:tc>
          <w:tcPr>
            <w:tcW w:type="dxa" w:w="3000"/>
            <w:shd w:fill="F2F2F2" w:val="clear"/>
            <w:tcMar>
              <w:top w:type="dxa" w:w="60"/>
              <w:left w:type="dxa" w:w="100"/>
              <w:bottom w:type="dxa" w:w="60"/>
              <w:right w:type="dxa" w:w="100"/>
            </w:tcMar>
          </w:tcPr>
          <w:p>
            <w:pPr>
              <w:jc w:val="left"/>
            </w:pPr>
            <w:r>
              <w:rPr>
                <w:color w:val="2D2D2D"/>
                <w:sz w:val="20"/>
                <w:szCs w:val="20"/>
              </w:rPr>
              <w:t xml:space="preserve">17 February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Monday — consistent low day</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8</w:t>
            </w:r>
          </w:p>
        </w:tc>
        <w:tc>
          <w:tcPr>
            <w:tcW w:type="dxa" w:w="3000"/>
            <w:shd w:fill="FFFFFF" w:val="clear"/>
            <w:tcMar>
              <w:top w:type="dxa" w:w="60"/>
              <w:left w:type="dxa" w:w="100"/>
              <w:bottom w:type="dxa" w:w="60"/>
              <w:right w:type="dxa" w:w="100"/>
            </w:tcMar>
          </w:tcPr>
          <w:p>
            <w:pPr>
              <w:jc w:val="left"/>
            </w:pPr>
            <w:r>
              <w:rPr>
                <w:color w:val="2D2D2D"/>
                <w:sz w:val="20"/>
                <w:szCs w:val="20"/>
              </w:rPr>
              <w:t xml:space="preserve">27 February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End of February</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9</w:t>
            </w:r>
          </w:p>
        </w:tc>
        <w:tc>
          <w:tcPr>
            <w:tcW w:type="dxa" w:w="3000"/>
            <w:shd w:fill="F2F2F2" w:val="clear"/>
            <w:tcMar>
              <w:top w:type="dxa" w:w="60"/>
              <w:left w:type="dxa" w:w="100"/>
              <w:bottom w:type="dxa" w:w="60"/>
              <w:right w:type="dxa" w:w="100"/>
            </w:tcMar>
          </w:tcPr>
          <w:p>
            <w:pPr>
              <w:jc w:val="left"/>
            </w:pPr>
            <w:r>
              <w:rPr>
                <w:color w:val="2D2D2D"/>
                <w:sz w:val="20"/>
                <w:szCs w:val="20"/>
              </w:rPr>
              <w:t xml:space="preserve">29 February 2026</w:t>
            </w:r>
          </w:p>
        </w:tc>
        <w:tc>
          <w:tcPr>
            <w:tcW w:type="dxa" w:w="3000"/>
            <w:shd w:fill="F2F2F2" w:val="clear"/>
            <w:tcMar>
              <w:top w:type="dxa" w:w="60"/>
              <w:left w:type="dxa" w:w="100"/>
              <w:bottom w:type="dxa" w:w="60"/>
              <w:right w:type="dxa" w:w="100"/>
            </w:tcMar>
          </w:tcPr>
          <w:p>
            <w:pPr>
              <w:jc w:val="left"/>
            </w:pPr>
            <w:r>
              <w:rPr>
                <w:color w:val="2D2D2D"/>
                <w:sz w:val="20"/>
                <w:szCs w:val="20"/>
              </w:rPr>
              <w:t xml:space="preserve">DATA QUALITY FLAG — 2026 is not a leap year</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10</w:t>
            </w:r>
          </w:p>
        </w:tc>
        <w:tc>
          <w:tcPr>
            <w:tcW w:type="dxa" w:w="3000"/>
            <w:shd w:fill="FFFFFF" w:val="clear"/>
            <w:tcMar>
              <w:top w:type="dxa" w:w="60"/>
              <w:left w:type="dxa" w:w="100"/>
              <w:bottom w:type="dxa" w:w="60"/>
              <w:right w:type="dxa" w:w="100"/>
            </w:tcMar>
          </w:tcPr>
          <w:p>
            <w:pPr>
              <w:jc w:val="left"/>
            </w:pPr>
            <w:r>
              <w:rPr>
                <w:color w:val="2D2D2D"/>
                <w:sz w:val="20"/>
                <w:szCs w:val="20"/>
              </w:rPr>
              <w:t xml:space="preserve">01 April 2026</w:t>
            </w:r>
          </w:p>
        </w:tc>
        <w:tc>
          <w:tcPr>
            <w:tcW w:type="dxa" w:w="3000"/>
            <w:shd w:fill="FFFFFF" w:val="clear"/>
            <w:tcMar>
              <w:top w:type="dxa" w:w="60"/>
              <w:left w:type="dxa" w:w="100"/>
              <w:bottom w:type="dxa" w:w="60"/>
              <w:right w:type="dxa" w:w="100"/>
            </w:tcMar>
          </w:tcPr>
          <w:p>
            <w:pPr>
              <w:jc w:val="left"/>
            </w:pPr>
            <w:r>
              <w:rPr>
                <w:color w:val="2D2D2D"/>
                <w:sz w:val="20"/>
                <w:szCs w:val="20"/>
              </w:rPr>
              <w:t xml:space="preserve">Incomplete data month</w:t>
            </w:r>
          </w:p>
        </w:tc>
      </w:tr>
    </w:tbl>
    <w:p>
      <w:pPr>
        <w:spacing w:after="100" w:before="100"/>
      </w:pPr>
    </w:p>
    <w:p>
      <w:pPr>
        <w:spacing w:after="100" w:before="100"/>
        <w:jc w:val="both"/>
      </w:pPr>
      <w:r>
        <w:rPr>
          <w:color w:val="2D2D2D"/>
          <w:sz w:val="22"/>
          <w:szCs w:val="22"/>
        </w:rPr>
        <w:t xml:space="preserve">January dominates the bottom 10 with 5 of the 10 worst performing days, suggesting a post-holiday slow start effect where subscribers are still in holiday mode and not engaging with regular viewing habits. The 29 February 2026 entry is a data quality flag requiring investigation at source.</w:t>
      </w:r>
    </w:p>
    <w:p>
      <w:r>
        <w:br w:type="page"/>
      </w:r>
    </w:p>
    <w:p>
      <w:pPr>
        <w:pStyle w:val="Heading1"/>
        <w:spacing w:after="200" w:before="400"/>
        <w:rPr>
          <w:b/>
          <w:bCs/>
          <w:color w:val="1B3A6B"/>
          <w:sz w:val="28"/>
          <w:szCs w:val="28"/>
        </w:rPr>
      </w:pPr>
      <w:r>
        <w:t xml:space="preserve">6. Findings — Content and Channels</w:t>
      </w:r>
    </w:p>
    <w:p>
      <w:pPr>
        <w:pStyle w:val="Heading2"/>
        <w:spacing w:after="150" w:before="300"/>
        <w:rPr>
          <w:b/>
          <w:bCs/>
          <w:color w:val="1B3A6B"/>
          <w:sz w:val="24"/>
          <w:szCs w:val="24"/>
        </w:rPr>
      </w:pPr>
      <w:r>
        <w:t xml:space="preserve">What are they watching?</w:t>
      </w:r>
    </w:p>
    <w:p>
      <w:pPr>
        <w:spacing w:after="100" w:before="100"/>
      </w:pPr>
    </w:p>
    <w:p>
      <w:pPr>
        <w:pStyle w:val="Heading3"/>
        <w:spacing w:after="100" w:before="200"/>
        <w:rPr>
          <w:b/>
          <w:bCs/>
          <w:color w:val="F2994A"/>
          <w:sz w:val="22"/>
          <w:szCs w:val="22"/>
        </w:rPr>
      </w:pPr>
      <w:r>
        <w:t xml:space="preserve">6.1 Channel Performance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B3A6B" w:val="clear"/>
            <w:tcMar>
              <w:top w:type="dxa" w:w="80"/>
              <w:left w:type="dxa" w:w="100"/>
              <w:bottom w:type="dxa" w:w="80"/>
              <w:right w:type="dxa" w:w="100"/>
            </w:tcMar>
          </w:tcPr>
          <w:p>
            <w:pPr>
              <w:jc w:val="center"/>
            </w:pPr>
            <w:r>
              <w:rPr>
                <w:b/>
                <w:bCs/>
                <w:color w:val="FFFFFF"/>
                <w:sz w:val="20"/>
                <w:szCs w:val="20"/>
              </w:rPr>
              <w:t xml:space="preserve">Rank</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Channel</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Minutes Watched</w:t>
            </w:r>
          </w:p>
        </w:tc>
        <w:tc>
          <w:tcPr>
            <w:tcW w:type="dxa" w:w="2250"/>
            <w:shd w:fill="1B3A6B" w:val="clear"/>
            <w:tcMar>
              <w:top w:type="dxa" w:w="80"/>
              <w:left w:type="dxa" w:w="100"/>
              <w:bottom w:type="dxa" w:w="80"/>
              <w:right w:type="dxa" w:w="100"/>
            </w:tcMar>
          </w:tcPr>
          <w:p>
            <w:pPr>
              <w:jc w:val="center"/>
            </w:pPr>
            <w:r>
              <w:rPr>
                <w:b/>
                <w:bCs/>
                <w:color w:val="FFFFFF"/>
                <w:sz w:val="20"/>
                <w:szCs w:val="20"/>
              </w:rPr>
              <w:t xml:space="preserve">Status</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1</w:t>
            </w:r>
          </w:p>
        </w:tc>
        <w:tc>
          <w:tcPr>
            <w:tcW w:type="dxa" w:w="2250"/>
            <w:shd w:fill="F2F2F2" w:val="clear"/>
            <w:tcMar>
              <w:top w:type="dxa" w:w="60"/>
              <w:left w:type="dxa" w:w="100"/>
              <w:bottom w:type="dxa" w:w="60"/>
              <w:right w:type="dxa" w:w="100"/>
            </w:tcMar>
          </w:tcPr>
          <w:p>
            <w:pPr>
              <w:jc w:val="left"/>
            </w:pPr>
            <w:r>
              <w:rPr>
                <w:color w:val="2D2D2D"/>
                <w:sz w:val="20"/>
                <w:szCs w:val="20"/>
              </w:rPr>
              <w:t xml:space="preserve">ICC Cricket World Cup 2011</w:t>
            </w:r>
          </w:p>
        </w:tc>
        <w:tc>
          <w:tcPr>
            <w:tcW w:type="dxa" w:w="2250"/>
            <w:shd w:fill="F2F2F2" w:val="clear"/>
            <w:tcMar>
              <w:top w:type="dxa" w:w="60"/>
              <w:left w:type="dxa" w:w="100"/>
              <w:bottom w:type="dxa" w:w="60"/>
              <w:right w:type="dxa" w:w="100"/>
            </w:tcMar>
          </w:tcPr>
          <w:p>
            <w:pPr>
              <w:jc w:val="left"/>
            </w:pPr>
            <w:r>
              <w:rPr>
                <w:color w:val="2D2D2D"/>
                <w:sz w:val="20"/>
                <w:szCs w:val="20"/>
              </w:rPr>
              <w:t xml:space="preserve">24,080 minutes</w:t>
            </w:r>
          </w:p>
        </w:tc>
        <w:tc>
          <w:tcPr>
            <w:tcW w:type="dxa" w:w="2250"/>
            <w:shd w:fill="F2F2F2" w:val="clear"/>
            <w:tcMar>
              <w:top w:type="dxa" w:w="60"/>
              <w:left w:type="dxa" w:w="100"/>
              <w:bottom w:type="dxa" w:w="60"/>
              <w:right w:type="dxa" w:w="100"/>
            </w:tcMar>
          </w:tcPr>
          <w:p>
            <w:pPr>
              <w:jc w:val="left"/>
            </w:pPr>
            <w:r>
              <w:rPr>
                <w:color w:val="2D2D2D"/>
                <w:sz w:val="20"/>
                <w:szCs w:val="20"/>
              </w:rPr>
              <w:t xml:space="preserve">⚠️ Dominant but high risk</w:t>
            </w:r>
          </w:p>
        </w:tc>
      </w:tr>
      <w:tr>
        <w:tc>
          <w:tcPr>
            <w:tcW w:type="dxa" w:w="2250"/>
            <w:shd w:fill="FFFFFF" w:val="clear"/>
            <w:tcMar>
              <w:top w:type="dxa" w:w="60"/>
              <w:left w:type="dxa" w:w="100"/>
              <w:bottom w:type="dxa" w:w="60"/>
              <w:right w:type="dxa" w:w="100"/>
            </w:tcMar>
          </w:tcPr>
          <w:p>
            <w:pPr>
              <w:jc w:val="left"/>
            </w:pPr>
            <w:r>
              <w:rPr>
                <w:color w:val="2D2D2D"/>
                <w:sz w:val="20"/>
                <w:szCs w:val="20"/>
              </w:rPr>
              <w:t xml:space="preserve">2</w:t>
            </w:r>
          </w:p>
        </w:tc>
        <w:tc>
          <w:tcPr>
            <w:tcW w:type="dxa" w:w="2250"/>
            <w:shd w:fill="FFFFFF" w:val="clear"/>
            <w:tcMar>
              <w:top w:type="dxa" w:w="60"/>
              <w:left w:type="dxa" w:w="100"/>
              <w:bottom w:type="dxa" w:w="60"/>
              <w:right w:type="dxa" w:w="100"/>
            </w:tcMar>
          </w:tcPr>
          <w:p>
            <w:pPr>
              <w:jc w:val="left"/>
            </w:pPr>
            <w:r>
              <w:rPr>
                <w:color w:val="2D2D2D"/>
                <w:sz w:val="20"/>
                <w:szCs w:val="20"/>
              </w:rPr>
              <w:t xml:space="preserve">Trace TV</w:t>
            </w:r>
          </w:p>
        </w:tc>
        <w:tc>
          <w:tcPr>
            <w:tcW w:type="dxa" w:w="2250"/>
            <w:shd w:fill="FFFFFF" w:val="clear"/>
            <w:tcMar>
              <w:top w:type="dxa" w:w="60"/>
              <w:left w:type="dxa" w:w="100"/>
              <w:bottom w:type="dxa" w:w="60"/>
              <w:right w:type="dxa" w:w="100"/>
            </w:tcMar>
          </w:tcPr>
          <w:p>
            <w:pPr>
              <w:jc w:val="left"/>
            </w:pPr>
            <w:r>
              <w:rPr>
                <w:color w:val="2D2D2D"/>
                <w:sz w:val="20"/>
                <w:szCs w:val="20"/>
              </w:rPr>
              <w:t xml:space="preserve">High</w:t>
            </w:r>
          </w:p>
        </w:tc>
        <w:tc>
          <w:tcPr>
            <w:tcW w:type="dxa" w:w="2250"/>
            <w:shd w:fill="FFFFFF" w:val="clear"/>
            <w:tcMar>
              <w:top w:type="dxa" w:w="60"/>
              <w:left w:type="dxa" w:w="100"/>
              <w:bottom w:type="dxa" w:w="60"/>
              <w:right w:type="dxa" w:w="100"/>
            </w:tcMar>
          </w:tcPr>
          <w:p>
            <w:pPr>
              <w:jc w:val="left"/>
            </w:pPr>
            <w:r>
              <w:rPr>
                <w:color w:val="2D2D2D"/>
                <w:sz w:val="20"/>
                <w:szCs w:val="20"/>
              </w:rPr>
              <w:t xml:space="preserve">✅ Strong — broad appeal</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3</w:t>
            </w:r>
          </w:p>
        </w:tc>
        <w:tc>
          <w:tcPr>
            <w:tcW w:type="dxa" w:w="2250"/>
            <w:shd w:fill="F2F2F2" w:val="clear"/>
            <w:tcMar>
              <w:top w:type="dxa" w:w="60"/>
              <w:left w:type="dxa" w:w="100"/>
              <w:bottom w:type="dxa" w:w="60"/>
              <w:right w:type="dxa" w:w="100"/>
            </w:tcMar>
          </w:tcPr>
          <w:p>
            <w:pPr>
              <w:jc w:val="left"/>
            </w:pPr>
            <w:r>
              <w:rPr>
                <w:color w:val="2D2D2D"/>
                <w:sz w:val="20"/>
                <w:szCs w:val="20"/>
              </w:rPr>
              <w:t xml:space="preserve">SuperSport Blitz</w:t>
            </w:r>
          </w:p>
        </w:tc>
        <w:tc>
          <w:tcPr>
            <w:tcW w:type="dxa" w:w="2250"/>
            <w:shd w:fill="F2F2F2" w:val="clear"/>
            <w:tcMar>
              <w:top w:type="dxa" w:w="60"/>
              <w:left w:type="dxa" w:w="100"/>
              <w:bottom w:type="dxa" w:w="60"/>
              <w:right w:type="dxa" w:w="100"/>
            </w:tcMar>
          </w:tcPr>
          <w:p>
            <w:pPr>
              <w:jc w:val="left"/>
            </w:pPr>
            <w:r>
              <w:rPr>
                <w:color w:val="2D2D2D"/>
                <w:sz w:val="20"/>
                <w:szCs w:val="20"/>
              </w:rPr>
              <w:t xml:space="preserve">High</w:t>
            </w:r>
          </w:p>
        </w:tc>
        <w:tc>
          <w:tcPr>
            <w:tcW w:type="dxa" w:w="2250"/>
            <w:shd w:fill="F2F2F2" w:val="clear"/>
            <w:tcMar>
              <w:top w:type="dxa" w:w="60"/>
              <w:left w:type="dxa" w:w="100"/>
              <w:bottom w:type="dxa" w:w="60"/>
              <w:right w:type="dxa" w:w="100"/>
            </w:tcMar>
          </w:tcPr>
          <w:p>
            <w:pPr>
              <w:jc w:val="left"/>
            </w:pPr>
            <w:r>
              <w:rPr>
                <w:color w:val="2D2D2D"/>
                <w:sz w:val="20"/>
                <w:szCs w:val="20"/>
              </w:rPr>
              <w:t xml:space="preserve">✅ Strong — sport focused</w:t>
            </w:r>
          </w:p>
        </w:tc>
      </w:tr>
      <w:tr>
        <w:tc>
          <w:tcPr>
            <w:tcW w:type="dxa" w:w="2250"/>
            <w:shd w:fill="FFFFFF" w:val="clear"/>
            <w:tcMar>
              <w:top w:type="dxa" w:w="60"/>
              <w:left w:type="dxa" w:w="100"/>
              <w:bottom w:type="dxa" w:w="60"/>
              <w:right w:type="dxa" w:w="100"/>
            </w:tcMar>
          </w:tcPr>
          <w:p>
            <w:pPr>
              <w:jc w:val="left"/>
            </w:pPr>
            <w:r>
              <w:rPr>
                <w:color w:val="2D2D2D"/>
                <w:sz w:val="20"/>
                <w:szCs w:val="20"/>
              </w:rPr>
              <w:t xml:space="preserve">Bottom</w:t>
            </w:r>
          </w:p>
        </w:tc>
        <w:tc>
          <w:tcPr>
            <w:tcW w:type="dxa" w:w="2250"/>
            <w:shd w:fill="FFFFFF" w:val="clear"/>
            <w:tcMar>
              <w:top w:type="dxa" w:w="60"/>
              <w:left w:type="dxa" w:w="100"/>
              <w:bottom w:type="dxa" w:w="60"/>
              <w:right w:type="dxa" w:w="100"/>
            </w:tcMar>
          </w:tcPr>
          <w:p>
            <w:pPr>
              <w:jc w:val="left"/>
            </w:pPr>
            <w:r>
              <w:rPr>
                <w:color w:val="2D2D2D"/>
                <w:sz w:val="20"/>
                <w:szCs w:val="20"/>
              </w:rPr>
              <w:t xml:space="preserve">Wimbledon</w:t>
            </w:r>
          </w:p>
        </w:tc>
        <w:tc>
          <w:tcPr>
            <w:tcW w:type="dxa" w:w="2250"/>
            <w:shd w:fill="FFFFFF" w:val="clear"/>
            <w:tcMar>
              <w:top w:type="dxa" w:w="60"/>
              <w:left w:type="dxa" w:w="100"/>
              <w:bottom w:type="dxa" w:w="60"/>
              <w:right w:type="dxa" w:w="100"/>
            </w:tcMar>
          </w:tcPr>
          <w:p>
            <w:pPr>
              <w:jc w:val="left"/>
            </w:pPr>
            <w:r>
              <w:rPr>
                <w:color w:val="2D2D2D"/>
                <w:sz w:val="20"/>
                <w:szCs w:val="20"/>
              </w:rPr>
              <w:t xml:space="preserve">Very low</w:t>
            </w:r>
          </w:p>
        </w:tc>
        <w:tc>
          <w:tcPr>
            <w:tcW w:type="dxa" w:w="2250"/>
            <w:shd w:fill="FFFFFF" w:val="clear"/>
            <w:tcMar>
              <w:top w:type="dxa" w:w="60"/>
              <w:left w:type="dxa" w:w="100"/>
              <w:bottom w:type="dxa" w:w="60"/>
              <w:right w:type="dxa" w:w="100"/>
            </w:tcMar>
          </w:tcPr>
          <w:p>
            <w:pPr>
              <w:jc w:val="left"/>
            </w:pPr>
            <w:r>
              <w:rPr>
                <w:color w:val="2D2D2D"/>
                <w:sz w:val="20"/>
                <w:szCs w:val="20"/>
              </w:rPr>
              <w:t xml:space="preserve">❌ Underperforming</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Bottom</w:t>
            </w:r>
          </w:p>
        </w:tc>
        <w:tc>
          <w:tcPr>
            <w:tcW w:type="dxa" w:w="2250"/>
            <w:shd w:fill="F2F2F2" w:val="clear"/>
            <w:tcMar>
              <w:top w:type="dxa" w:w="60"/>
              <w:left w:type="dxa" w:w="100"/>
              <w:bottom w:type="dxa" w:w="60"/>
              <w:right w:type="dxa" w:w="100"/>
            </w:tcMar>
          </w:tcPr>
          <w:p>
            <w:pPr>
              <w:jc w:val="left"/>
            </w:pPr>
            <w:r>
              <w:rPr>
                <w:color w:val="2D2D2D"/>
                <w:sz w:val="20"/>
                <w:szCs w:val="20"/>
              </w:rPr>
              <w:t xml:space="preserve">SawSee</w:t>
            </w:r>
          </w:p>
        </w:tc>
        <w:tc>
          <w:tcPr>
            <w:tcW w:type="dxa" w:w="2250"/>
            <w:shd w:fill="F2F2F2" w:val="clear"/>
            <w:tcMar>
              <w:top w:type="dxa" w:w="60"/>
              <w:left w:type="dxa" w:w="100"/>
              <w:bottom w:type="dxa" w:w="60"/>
              <w:right w:type="dxa" w:w="100"/>
            </w:tcMar>
          </w:tcPr>
          <w:p>
            <w:pPr>
              <w:jc w:val="left"/>
            </w:pPr>
            <w:r>
              <w:rPr>
                <w:color w:val="2D2D2D"/>
                <w:sz w:val="20"/>
                <w:szCs w:val="20"/>
              </w:rPr>
              <w:t xml:space="preserve">Very low</w:t>
            </w:r>
          </w:p>
        </w:tc>
        <w:tc>
          <w:tcPr>
            <w:tcW w:type="dxa" w:w="2250"/>
            <w:shd w:fill="F2F2F2" w:val="clear"/>
            <w:tcMar>
              <w:top w:type="dxa" w:w="60"/>
              <w:left w:type="dxa" w:w="100"/>
              <w:bottom w:type="dxa" w:w="60"/>
              <w:right w:type="dxa" w:w="100"/>
            </w:tcMar>
          </w:tcPr>
          <w:p>
            <w:pPr>
              <w:jc w:val="left"/>
            </w:pPr>
            <w:r>
              <w:rPr>
                <w:color w:val="2D2D2D"/>
                <w:sz w:val="20"/>
                <w:szCs w:val="20"/>
              </w:rPr>
              <w:t xml:space="preserve">❌ Underperforming</w:t>
            </w:r>
          </w:p>
        </w:tc>
      </w:tr>
      <w:tr>
        <w:tc>
          <w:tcPr>
            <w:tcW w:type="dxa" w:w="2250"/>
            <w:shd w:fill="FFFFFF" w:val="clear"/>
            <w:tcMar>
              <w:top w:type="dxa" w:w="60"/>
              <w:left w:type="dxa" w:w="100"/>
              <w:bottom w:type="dxa" w:w="60"/>
              <w:right w:type="dxa" w:w="100"/>
            </w:tcMar>
          </w:tcPr>
          <w:p>
            <w:pPr>
              <w:jc w:val="left"/>
            </w:pPr>
            <w:r>
              <w:rPr>
                <w:color w:val="2D2D2D"/>
                <w:sz w:val="20"/>
                <w:szCs w:val="20"/>
              </w:rPr>
              <w:t xml:space="preserve">Bottom</w:t>
            </w:r>
          </w:p>
        </w:tc>
        <w:tc>
          <w:tcPr>
            <w:tcW w:type="dxa" w:w="2250"/>
            <w:shd w:fill="FFFFFF" w:val="clear"/>
            <w:tcMar>
              <w:top w:type="dxa" w:w="60"/>
              <w:left w:type="dxa" w:w="100"/>
              <w:bottom w:type="dxa" w:w="60"/>
              <w:right w:type="dxa" w:w="100"/>
            </w:tcMar>
          </w:tcPr>
          <w:p>
            <w:pPr>
              <w:jc w:val="left"/>
            </w:pPr>
            <w:r>
              <w:rPr>
                <w:color w:val="2D2D2D"/>
                <w:sz w:val="20"/>
                <w:szCs w:val="20"/>
              </w:rPr>
              <w:t xml:space="preserve">MK</w:t>
            </w:r>
          </w:p>
        </w:tc>
        <w:tc>
          <w:tcPr>
            <w:tcW w:type="dxa" w:w="2250"/>
            <w:shd w:fill="FFFFFF" w:val="clear"/>
            <w:tcMar>
              <w:top w:type="dxa" w:w="60"/>
              <w:left w:type="dxa" w:w="100"/>
              <w:bottom w:type="dxa" w:w="60"/>
              <w:right w:type="dxa" w:w="100"/>
            </w:tcMar>
          </w:tcPr>
          <w:p>
            <w:pPr>
              <w:jc w:val="left"/>
            </w:pPr>
            <w:r>
              <w:rPr>
                <w:color w:val="2D2D2D"/>
                <w:sz w:val="20"/>
                <w:szCs w:val="20"/>
              </w:rPr>
              <w:t xml:space="preserve">Very low</w:t>
            </w:r>
          </w:p>
        </w:tc>
        <w:tc>
          <w:tcPr>
            <w:tcW w:type="dxa" w:w="2250"/>
            <w:shd w:fill="FFFFFF" w:val="clear"/>
            <w:tcMar>
              <w:top w:type="dxa" w:w="60"/>
              <w:left w:type="dxa" w:w="100"/>
              <w:bottom w:type="dxa" w:w="60"/>
              <w:right w:type="dxa" w:w="100"/>
            </w:tcMar>
          </w:tcPr>
          <w:p>
            <w:pPr>
              <w:jc w:val="left"/>
            </w:pPr>
            <w:r>
              <w:rPr>
                <w:color w:val="2D2D2D"/>
                <w:sz w:val="20"/>
                <w:szCs w:val="20"/>
              </w:rPr>
              <w:t xml:space="preserve">❌ Underperforming</w:t>
            </w:r>
          </w:p>
        </w:tc>
      </w:tr>
      <w:tr>
        <w:tc>
          <w:tcPr>
            <w:tcW w:type="dxa" w:w="2250"/>
            <w:shd w:fill="F2F2F2" w:val="clear"/>
            <w:tcMar>
              <w:top w:type="dxa" w:w="60"/>
              <w:left w:type="dxa" w:w="100"/>
              <w:bottom w:type="dxa" w:w="60"/>
              <w:right w:type="dxa" w:w="100"/>
            </w:tcMar>
          </w:tcPr>
          <w:p>
            <w:pPr>
              <w:jc w:val="left"/>
            </w:pPr>
            <w:r>
              <w:rPr>
                <w:color w:val="2D2D2D"/>
                <w:sz w:val="20"/>
                <w:szCs w:val="20"/>
              </w:rPr>
              <w:t xml:space="preserve">Bottom</w:t>
            </w:r>
          </w:p>
        </w:tc>
        <w:tc>
          <w:tcPr>
            <w:tcW w:type="dxa" w:w="2250"/>
            <w:shd w:fill="F2F2F2" w:val="clear"/>
            <w:tcMar>
              <w:top w:type="dxa" w:w="60"/>
              <w:left w:type="dxa" w:w="100"/>
              <w:bottom w:type="dxa" w:w="60"/>
              <w:right w:type="dxa" w:w="100"/>
            </w:tcMar>
          </w:tcPr>
          <w:p>
            <w:pPr>
              <w:jc w:val="left"/>
            </w:pPr>
            <w:r>
              <w:rPr>
                <w:color w:val="2D2D2D"/>
                <w:sz w:val="20"/>
                <w:szCs w:val="20"/>
              </w:rPr>
              <w:t xml:space="preserve">Vuzu</w:t>
            </w:r>
          </w:p>
        </w:tc>
        <w:tc>
          <w:tcPr>
            <w:tcW w:type="dxa" w:w="2250"/>
            <w:shd w:fill="F2F2F2" w:val="clear"/>
            <w:tcMar>
              <w:top w:type="dxa" w:w="60"/>
              <w:left w:type="dxa" w:w="100"/>
              <w:bottom w:type="dxa" w:w="60"/>
              <w:right w:type="dxa" w:w="100"/>
            </w:tcMar>
          </w:tcPr>
          <w:p>
            <w:pPr>
              <w:jc w:val="left"/>
            </w:pPr>
            <w:r>
              <w:rPr>
                <w:color w:val="2D2D2D"/>
                <w:sz w:val="20"/>
                <w:szCs w:val="20"/>
              </w:rPr>
              <w:t xml:space="preserve">Very low</w:t>
            </w:r>
          </w:p>
        </w:tc>
        <w:tc>
          <w:tcPr>
            <w:tcW w:type="dxa" w:w="2250"/>
            <w:shd w:fill="F2F2F2" w:val="clear"/>
            <w:tcMar>
              <w:top w:type="dxa" w:w="60"/>
              <w:left w:type="dxa" w:w="100"/>
              <w:bottom w:type="dxa" w:w="60"/>
              <w:right w:type="dxa" w:w="100"/>
            </w:tcMar>
          </w:tcPr>
          <w:p>
            <w:pPr>
              <w:jc w:val="left"/>
            </w:pPr>
            <w:r>
              <w:rPr>
                <w:color w:val="2D2D2D"/>
                <w:sz w:val="20"/>
                <w:szCs w:val="20"/>
              </w:rPr>
              <w:t xml:space="preserve">❌ Underperforming</w:t>
            </w:r>
          </w:p>
        </w:tc>
      </w:tr>
      <w:tr>
        <w:tc>
          <w:tcPr>
            <w:tcW w:type="dxa" w:w="2250"/>
            <w:shd w:fill="FFFFFF" w:val="clear"/>
            <w:tcMar>
              <w:top w:type="dxa" w:w="60"/>
              <w:left w:type="dxa" w:w="100"/>
              <w:bottom w:type="dxa" w:w="60"/>
              <w:right w:type="dxa" w:w="100"/>
            </w:tcMar>
          </w:tcPr>
          <w:p>
            <w:pPr>
              <w:jc w:val="left"/>
            </w:pPr>
            <w:r>
              <w:rPr>
                <w:color w:val="2D2D2D"/>
                <w:sz w:val="20"/>
                <w:szCs w:val="20"/>
              </w:rPr>
              <w:t xml:space="preserve">Bottom</w:t>
            </w:r>
          </w:p>
        </w:tc>
        <w:tc>
          <w:tcPr>
            <w:tcW w:type="dxa" w:w="2250"/>
            <w:shd w:fill="FFFFFF" w:val="clear"/>
            <w:tcMar>
              <w:top w:type="dxa" w:w="60"/>
              <w:left w:type="dxa" w:w="100"/>
              <w:bottom w:type="dxa" w:w="60"/>
              <w:right w:type="dxa" w:w="100"/>
            </w:tcMar>
          </w:tcPr>
          <w:p>
            <w:pPr>
              <w:jc w:val="left"/>
            </w:pPr>
            <w:r>
              <w:rPr>
                <w:color w:val="2D2D2D"/>
                <w:sz w:val="20"/>
                <w:szCs w:val="20"/>
              </w:rPr>
              <w:t xml:space="preserve">M-Net</w:t>
            </w:r>
          </w:p>
        </w:tc>
        <w:tc>
          <w:tcPr>
            <w:tcW w:type="dxa" w:w="2250"/>
            <w:shd w:fill="FFFFFF" w:val="clear"/>
            <w:tcMar>
              <w:top w:type="dxa" w:w="60"/>
              <w:left w:type="dxa" w:w="100"/>
              <w:bottom w:type="dxa" w:w="60"/>
              <w:right w:type="dxa" w:w="100"/>
            </w:tcMar>
          </w:tcPr>
          <w:p>
            <w:pPr>
              <w:jc w:val="left"/>
            </w:pPr>
            <w:r>
              <w:rPr>
                <w:color w:val="2D2D2D"/>
                <w:sz w:val="20"/>
                <w:szCs w:val="20"/>
              </w:rPr>
              <w:t xml:space="preserve">Very low</w:t>
            </w:r>
          </w:p>
        </w:tc>
        <w:tc>
          <w:tcPr>
            <w:tcW w:type="dxa" w:w="2250"/>
            <w:shd w:fill="FFFFFF" w:val="clear"/>
            <w:tcMar>
              <w:top w:type="dxa" w:w="60"/>
              <w:left w:type="dxa" w:w="100"/>
              <w:bottom w:type="dxa" w:w="60"/>
              <w:right w:type="dxa" w:w="100"/>
            </w:tcMar>
          </w:tcPr>
          <w:p>
            <w:pPr>
              <w:jc w:val="left"/>
            </w:pPr>
            <w:r>
              <w:rPr>
                <w:color w:val="2D2D2D"/>
                <w:sz w:val="20"/>
                <w:szCs w:val="20"/>
              </w:rPr>
              <w:t xml:space="preserve">❌ Underperforming</w:t>
            </w:r>
          </w:p>
        </w:tc>
      </w:tr>
    </w:tbl>
    <w:p>
      <w:pPr>
        <w:spacing w:after="100" w:before="100"/>
      </w:pPr>
    </w:p>
    <w:p>
      <w:pPr>
        <w:spacing w:after="100" w:before="100"/>
        <w:jc w:val="both"/>
      </w:pPr>
      <w:r>
        <w:rPr>
          <w:color w:val="2D2D2D"/>
          <w:sz w:val="22"/>
          <w:szCs w:val="22"/>
        </w:rPr>
        <w:t xml:space="preserve">The ICC Cricket World Cup 2011 replay accounts for 24,080 minutes — representing a disproportionate share of total consumption (87,210 minutes). BrightTV is critically overdependent on a single 15-year-old sports replay title. When this content cycle concludes, consumption drops significantly, as evidenced by April's near-zero data. Content diversification is an urgent strategic priority.</w:t>
      </w:r>
    </w:p>
    <w:p>
      <w:pPr>
        <w:spacing w:after="100" w:before="100"/>
      </w:pPr>
    </w:p>
    <w:p>
      <w:pPr>
        <w:pStyle w:val="Heading3"/>
        <w:spacing w:after="100" w:before="200"/>
        <w:rPr>
          <w:b/>
          <w:bCs/>
          <w:color w:val="F2994A"/>
          <w:sz w:val="22"/>
          <w:szCs w:val="22"/>
        </w:rPr>
      </w:pPr>
      <w:r>
        <w:t xml:space="preserve">6.2 Channel Preference by Age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6B" w:val="clear"/>
            <w:tcMar>
              <w:top w:type="dxa" w:w="80"/>
              <w:left w:type="dxa" w:w="100"/>
              <w:bottom w:type="dxa" w:w="80"/>
              <w:right w:type="dxa" w:w="100"/>
            </w:tcMar>
          </w:tcPr>
          <w:p>
            <w:pPr>
              <w:jc w:val="center"/>
            </w:pPr>
            <w:r>
              <w:rPr>
                <w:b/>
                <w:bCs/>
                <w:color w:val="FFFFFF"/>
                <w:sz w:val="20"/>
                <w:szCs w:val="20"/>
              </w:rPr>
              <w:t xml:space="preserve">Age Group</w:t>
            </w:r>
          </w:p>
        </w:tc>
        <w:tc>
          <w:tcPr>
            <w:tcW w:type="dxa" w:w="4500"/>
            <w:shd w:fill="1B3A6B" w:val="clear"/>
            <w:tcMar>
              <w:top w:type="dxa" w:w="80"/>
              <w:left w:type="dxa" w:w="100"/>
              <w:bottom w:type="dxa" w:w="80"/>
              <w:right w:type="dxa" w:w="100"/>
            </w:tcMar>
          </w:tcPr>
          <w:p>
            <w:pPr>
              <w:jc w:val="center"/>
            </w:pPr>
            <w:r>
              <w:rPr>
                <w:b/>
                <w:bCs/>
                <w:color w:val="FFFFFF"/>
                <w:sz w:val="20"/>
                <w:szCs w:val="20"/>
              </w:rPr>
              <w:t xml:space="preserve">Top Channels</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Adults (30-59)</w:t>
            </w:r>
          </w:p>
        </w:tc>
        <w:tc>
          <w:tcPr>
            <w:tcW w:type="dxa" w:w="4500"/>
            <w:shd w:fill="F2F2F2" w:val="clear"/>
            <w:tcMar>
              <w:top w:type="dxa" w:w="60"/>
              <w:left w:type="dxa" w:w="100"/>
              <w:bottom w:type="dxa" w:w="60"/>
              <w:right w:type="dxa" w:w="100"/>
            </w:tcMar>
          </w:tcPr>
          <w:p>
            <w:pPr>
              <w:jc w:val="left"/>
            </w:pPr>
            <w:r>
              <w:rPr>
                <w:color w:val="2D2D2D"/>
                <w:sz w:val="20"/>
                <w:szCs w:val="20"/>
              </w:rPr>
              <w:t xml:space="preserve">ICC Cricket World Cup 2011, Channel O, CNN</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Youth (18-29)</w:t>
            </w:r>
          </w:p>
        </w:tc>
        <w:tc>
          <w:tcPr>
            <w:tcW w:type="dxa" w:w="4500"/>
            <w:shd w:fill="FFFFFF" w:val="clear"/>
            <w:tcMar>
              <w:top w:type="dxa" w:w="60"/>
              <w:left w:type="dxa" w:w="100"/>
              <w:bottom w:type="dxa" w:w="60"/>
              <w:right w:type="dxa" w:w="100"/>
            </w:tcMar>
          </w:tcPr>
          <w:p>
            <w:pPr>
              <w:jc w:val="left"/>
            </w:pPr>
            <w:r>
              <w:rPr>
                <w:color w:val="2D2D2D"/>
                <w:sz w:val="20"/>
                <w:szCs w:val="20"/>
              </w:rPr>
              <w:t xml:space="preserve">ICC Cricket World Cup 2011, Trace TV, Boomerang</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Kids (0-12)</w:t>
            </w:r>
          </w:p>
        </w:tc>
        <w:tc>
          <w:tcPr>
            <w:tcW w:type="dxa" w:w="4500"/>
            <w:shd w:fill="F2F2F2" w:val="clear"/>
            <w:tcMar>
              <w:top w:type="dxa" w:w="60"/>
              <w:left w:type="dxa" w:w="100"/>
              <w:bottom w:type="dxa" w:w="60"/>
              <w:right w:type="dxa" w:w="100"/>
            </w:tcMar>
          </w:tcPr>
          <w:p>
            <w:pPr>
              <w:jc w:val="left"/>
            </w:pPr>
            <w:r>
              <w:rPr>
                <w:color w:val="2D2D2D"/>
                <w:sz w:val="20"/>
                <w:szCs w:val="20"/>
              </w:rPr>
              <w:t xml:space="preserve">ICC Cricket World Cup 2011, Trace TV, Boomerang</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Teenagers (13-17)</w:t>
            </w:r>
          </w:p>
        </w:tc>
        <w:tc>
          <w:tcPr>
            <w:tcW w:type="dxa" w:w="4500"/>
            <w:shd w:fill="FFFFFF" w:val="clear"/>
            <w:tcMar>
              <w:top w:type="dxa" w:w="60"/>
              <w:left w:type="dxa" w:w="100"/>
              <w:bottom w:type="dxa" w:w="60"/>
              <w:right w:type="dxa" w:w="100"/>
            </w:tcMar>
          </w:tcPr>
          <w:p>
            <w:pPr>
              <w:jc w:val="left"/>
            </w:pPr>
            <w:r>
              <w:rPr>
                <w:color w:val="2D2D2D"/>
                <w:sz w:val="20"/>
                <w:szCs w:val="20"/>
              </w:rPr>
              <w:t xml:space="preserve">ICC Cricket World Cup 2011, Trace TV, Boomerang</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Pensioners (60+)</w:t>
            </w:r>
          </w:p>
        </w:tc>
        <w:tc>
          <w:tcPr>
            <w:tcW w:type="dxa" w:w="4500"/>
            <w:shd w:fill="F2F2F2" w:val="clear"/>
            <w:tcMar>
              <w:top w:type="dxa" w:w="60"/>
              <w:left w:type="dxa" w:w="100"/>
              <w:bottom w:type="dxa" w:w="60"/>
              <w:right w:type="dxa" w:w="100"/>
            </w:tcMar>
          </w:tcPr>
          <w:p>
            <w:pPr>
              <w:jc w:val="left"/>
            </w:pPr>
            <w:r>
              <w:rPr>
                <w:color w:val="2D2D2D"/>
                <w:sz w:val="20"/>
                <w:szCs w:val="20"/>
              </w:rPr>
              <w:t xml:space="preserve">ICC Cricket World Cup 2011, SuperSport Blitz, SuperSport Live Events</w:t>
            </w:r>
          </w:p>
        </w:tc>
      </w:tr>
    </w:tbl>
    <w:p>
      <w:pPr>
        <w:spacing w:after="100" w:before="100"/>
      </w:pPr>
    </w:p>
    <w:p>
      <w:pPr>
        <w:spacing w:after="100" w:before="100"/>
        <w:jc w:val="both"/>
      </w:pPr>
      <w:r>
        <w:rPr>
          <w:color w:val="2D2D2D"/>
          <w:sz w:val="22"/>
          <w:szCs w:val="22"/>
        </w:rPr>
        <w:t xml:space="preserve">Cricket World Cup dominates across all age groups — further confirming the content concentration risk. Trace TV and Boomerang are strong performers across younger audiences (Kids, Teenagers, Youth) and represent the highest-return investment opportunity for content that appeals to underrepresented age segments.</w:t>
      </w:r>
    </w:p>
    <w:p>
      <w:pPr>
        <w:spacing w:after="100" w:before="100"/>
      </w:pPr>
    </w:p>
    <w:p>
      <w:pPr>
        <w:pStyle w:val="Heading3"/>
        <w:spacing w:after="100" w:before="200"/>
        <w:rPr>
          <w:b/>
          <w:bCs/>
          <w:color w:val="F2994A"/>
          <w:sz w:val="22"/>
          <w:szCs w:val="22"/>
        </w:rPr>
      </w:pPr>
      <w:r>
        <w:t xml:space="preserve">6.3 Channel Preference by Gender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Gender</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Top Channels</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Insight</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Male</w:t>
            </w:r>
          </w:p>
        </w:tc>
        <w:tc>
          <w:tcPr>
            <w:tcW w:type="dxa" w:w="3000"/>
            <w:shd w:fill="F2F2F2" w:val="clear"/>
            <w:tcMar>
              <w:top w:type="dxa" w:w="60"/>
              <w:left w:type="dxa" w:w="100"/>
              <w:bottom w:type="dxa" w:w="60"/>
              <w:right w:type="dxa" w:w="100"/>
            </w:tcMar>
          </w:tcPr>
          <w:p>
            <w:pPr>
              <w:jc w:val="left"/>
            </w:pPr>
            <w:r>
              <w:rPr>
                <w:color w:val="2D2D2D"/>
                <w:sz w:val="20"/>
                <w:szCs w:val="20"/>
              </w:rPr>
              <w:t xml:space="preserve">ICC Cricket World Cup 2011, Channel O, SuperSport Blitz</w:t>
            </w:r>
          </w:p>
        </w:tc>
        <w:tc>
          <w:tcPr>
            <w:tcW w:type="dxa" w:w="3000"/>
            <w:shd w:fill="F2F2F2" w:val="clear"/>
            <w:tcMar>
              <w:top w:type="dxa" w:w="60"/>
              <w:left w:type="dxa" w:w="100"/>
              <w:bottom w:type="dxa" w:w="60"/>
              <w:right w:type="dxa" w:w="100"/>
            </w:tcMar>
          </w:tcPr>
          <w:p>
            <w:pPr>
              <w:jc w:val="left"/>
            </w:pPr>
            <w:r>
              <w:rPr>
                <w:color w:val="2D2D2D"/>
                <w:sz w:val="20"/>
                <w:szCs w:val="20"/>
              </w:rPr>
              <w:t xml:space="preserve">Sport and news dominant</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Female</w:t>
            </w:r>
          </w:p>
        </w:tc>
        <w:tc>
          <w:tcPr>
            <w:tcW w:type="dxa" w:w="3000"/>
            <w:shd w:fill="FFFFFF" w:val="clear"/>
            <w:tcMar>
              <w:top w:type="dxa" w:w="60"/>
              <w:left w:type="dxa" w:w="100"/>
              <w:bottom w:type="dxa" w:w="60"/>
              <w:right w:type="dxa" w:w="100"/>
            </w:tcMar>
          </w:tcPr>
          <w:p>
            <w:pPr>
              <w:jc w:val="left"/>
            </w:pPr>
            <w:r>
              <w:rPr>
                <w:color w:val="2D2D2D"/>
                <w:sz w:val="20"/>
                <w:szCs w:val="20"/>
              </w:rPr>
              <w:t xml:space="preserve">Trace TV, SuperSport Live Events, Cartoon Network</w:t>
            </w:r>
          </w:p>
        </w:tc>
        <w:tc>
          <w:tcPr>
            <w:tcW w:type="dxa" w:w="3000"/>
            <w:shd w:fill="FFFFFF" w:val="clear"/>
            <w:tcMar>
              <w:top w:type="dxa" w:w="60"/>
              <w:left w:type="dxa" w:w="100"/>
              <w:bottom w:type="dxa" w:w="60"/>
              <w:right w:type="dxa" w:w="100"/>
            </w:tcMar>
          </w:tcPr>
          <w:p>
            <w:pPr>
              <w:jc w:val="left"/>
            </w:pPr>
            <w:r>
              <w:rPr>
                <w:color w:val="2D2D2D"/>
                <w:sz w:val="20"/>
                <w:szCs w:val="20"/>
              </w:rPr>
              <w:t xml:space="preserve">Music, events and animation dominant</w:t>
            </w:r>
          </w:p>
        </w:tc>
      </w:tr>
    </w:tbl>
    <w:p>
      <w:pPr>
        <w:spacing w:after="100" w:before="100"/>
      </w:pPr>
    </w:p>
    <w:p>
      <w:pPr>
        <w:spacing w:after="100" w:before="100"/>
        <w:jc w:val="both"/>
      </w:pPr>
      <w:r>
        <w:rPr>
          <w:color w:val="2D2D2D"/>
          <w:sz w:val="22"/>
          <w:szCs w:val="22"/>
        </w:rPr>
        <w:t xml:space="preserve">Male and female subscribers watch fundamentally different content. Cricket and sport dominate male viewing while females prefer music television (Trace TV), live events and animation (Cartoon Network). A single content strategy cannot effectively serve both genders. Female acquisition campaigns must be paired with female-preferred content investment or acquired female subscribers will churn rapidly.</w:t>
      </w:r>
    </w:p>
    <w:p>
      <w:pPr>
        <w:spacing w:after="100" w:before="100"/>
      </w:pPr>
    </w:p>
    <w:p>
      <w:pPr>
        <w:pStyle w:val="Heading3"/>
        <w:spacing w:after="100" w:before="200"/>
        <w:rPr>
          <w:b/>
          <w:bCs/>
          <w:color w:val="F2994A"/>
          <w:sz w:val="22"/>
          <w:szCs w:val="22"/>
        </w:rPr>
      </w:pPr>
      <w:r>
        <w:t xml:space="preserve">6.4 Provincial Consumption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A6B" w:val="clear"/>
            <w:tcMar>
              <w:top w:type="dxa" w:w="80"/>
              <w:left w:type="dxa" w:w="100"/>
              <w:bottom w:type="dxa" w:w="80"/>
              <w:right w:type="dxa" w:w="100"/>
            </w:tcMar>
          </w:tcPr>
          <w:p>
            <w:pPr>
              <w:jc w:val="center"/>
            </w:pPr>
            <w:r>
              <w:rPr>
                <w:b/>
                <w:bCs/>
                <w:color w:val="FFFFFF"/>
                <w:sz w:val="20"/>
                <w:szCs w:val="20"/>
              </w:rPr>
              <w:t xml:space="preserve">Rank</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Province</w:t>
            </w:r>
          </w:p>
        </w:tc>
        <w:tc>
          <w:tcPr>
            <w:tcW w:type="dxa" w:w="3000"/>
            <w:shd w:fill="1B3A6B" w:val="clear"/>
            <w:tcMar>
              <w:top w:type="dxa" w:w="80"/>
              <w:left w:type="dxa" w:w="100"/>
              <w:bottom w:type="dxa" w:w="80"/>
              <w:right w:type="dxa" w:w="100"/>
            </w:tcMar>
          </w:tcPr>
          <w:p>
            <w:pPr>
              <w:jc w:val="center"/>
            </w:pPr>
            <w:r>
              <w:rPr>
                <w:b/>
                <w:bCs/>
                <w:color w:val="FFFFFF"/>
                <w:sz w:val="20"/>
                <w:szCs w:val="20"/>
              </w:rPr>
              <w:t xml:space="preserve">Observation</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1</w:t>
            </w:r>
          </w:p>
        </w:tc>
        <w:tc>
          <w:tcPr>
            <w:tcW w:type="dxa" w:w="3000"/>
            <w:shd w:fill="F2F2F2" w:val="clear"/>
            <w:tcMar>
              <w:top w:type="dxa" w:w="60"/>
              <w:left w:type="dxa" w:w="100"/>
              <w:bottom w:type="dxa" w:w="60"/>
              <w:right w:type="dxa" w:w="100"/>
            </w:tcMar>
          </w:tcPr>
          <w:p>
            <w:pPr>
              <w:jc w:val="left"/>
            </w:pPr>
            <w:r>
              <w:rPr>
                <w:color w:val="2D2D2D"/>
                <w:sz w:val="20"/>
                <w:szCs w:val="20"/>
              </w:rPr>
              <w:t xml:space="preserve">Gauteng</w:t>
            </w:r>
          </w:p>
        </w:tc>
        <w:tc>
          <w:tcPr>
            <w:tcW w:type="dxa" w:w="3000"/>
            <w:shd w:fill="F2F2F2" w:val="clear"/>
            <w:tcMar>
              <w:top w:type="dxa" w:w="60"/>
              <w:left w:type="dxa" w:w="100"/>
              <w:bottom w:type="dxa" w:w="60"/>
              <w:right w:type="dxa" w:w="100"/>
            </w:tcMar>
          </w:tcPr>
          <w:p>
            <w:pPr>
              <w:jc w:val="left"/>
            </w:pPr>
            <w:r>
              <w:rPr>
                <w:color w:val="2D2D2D"/>
                <w:sz w:val="20"/>
                <w:szCs w:val="20"/>
              </w:rPr>
              <w:t xml:space="preserve">Highest consumption — mirrors subscriber dominance</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2</w:t>
            </w:r>
          </w:p>
        </w:tc>
        <w:tc>
          <w:tcPr>
            <w:tcW w:type="dxa" w:w="3000"/>
            <w:shd w:fill="FFFFFF" w:val="clear"/>
            <w:tcMar>
              <w:top w:type="dxa" w:w="60"/>
              <w:left w:type="dxa" w:w="100"/>
              <w:bottom w:type="dxa" w:w="60"/>
              <w:right w:type="dxa" w:w="100"/>
            </w:tcMar>
          </w:tcPr>
          <w:p>
            <w:pPr>
              <w:jc w:val="left"/>
            </w:pPr>
            <w:r>
              <w:rPr>
                <w:color w:val="2D2D2D"/>
                <w:sz w:val="20"/>
                <w:szCs w:val="20"/>
              </w:rPr>
              <w:t xml:space="preserve">Western Cape</w:t>
            </w:r>
          </w:p>
        </w:tc>
        <w:tc>
          <w:tcPr>
            <w:tcW w:type="dxa" w:w="3000"/>
            <w:shd w:fill="FFFFFF" w:val="clear"/>
            <w:tcMar>
              <w:top w:type="dxa" w:w="60"/>
              <w:left w:type="dxa" w:w="100"/>
              <w:bottom w:type="dxa" w:w="60"/>
              <w:right w:type="dxa" w:w="100"/>
            </w:tcMar>
          </w:tcPr>
          <w:p>
            <w:pPr>
              <w:jc w:val="left"/>
            </w:pPr>
            <w:r>
              <w:rPr>
                <w:color w:val="2D2D2D"/>
                <w:sz w:val="20"/>
                <w:szCs w:val="20"/>
              </w:rPr>
              <w:t xml:space="preserve">Strong second</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3</w:t>
            </w:r>
          </w:p>
        </w:tc>
        <w:tc>
          <w:tcPr>
            <w:tcW w:type="dxa" w:w="3000"/>
            <w:shd w:fill="F2F2F2" w:val="clear"/>
            <w:tcMar>
              <w:top w:type="dxa" w:w="60"/>
              <w:left w:type="dxa" w:w="100"/>
              <w:bottom w:type="dxa" w:w="60"/>
              <w:right w:type="dxa" w:w="100"/>
            </w:tcMar>
          </w:tcPr>
          <w:p>
            <w:pPr>
              <w:jc w:val="left"/>
            </w:pPr>
            <w:r>
              <w:rPr>
                <w:color w:val="2D2D2D"/>
                <w:sz w:val="20"/>
                <w:szCs w:val="20"/>
              </w:rPr>
              <w:t xml:space="preserve">Mpumalanga</w:t>
            </w:r>
          </w:p>
        </w:tc>
        <w:tc>
          <w:tcPr>
            <w:tcW w:type="dxa" w:w="3000"/>
            <w:shd w:fill="F2F2F2" w:val="clear"/>
            <w:tcMar>
              <w:top w:type="dxa" w:w="60"/>
              <w:left w:type="dxa" w:w="100"/>
              <w:bottom w:type="dxa" w:w="60"/>
              <w:right w:type="dxa" w:w="100"/>
            </w:tcMar>
          </w:tcPr>
          <w:p>
            <w:pPr>
              <w:jc w:val="left"/>
            </w:pPr>
            <w:r>
              <w:rPr>
                <w:color w:val="2D2D2D"/>
                <w:sz w:val="20"/>
                <w:szCs w:val="20"/>
              </w:rPr>
              <w:t xml:space="preserve">Notable — high consumption relative to subscriber count (high engagement per subscriber)</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Bottom</w:t>
            </w:r>
          </w:p>
        </w:tc>
        <w:tc>
          <w:tcPr>
            <w:tcW w:type="dxa" w:w="3000"/>
            <w:shd w:fill="FFFFFF" w:val="clear"/>
            <w:tcMar>
              <w:top w:type="dxa" w:w="60"/>
              <w:left w:type="dxa" w:w="100"/>
              <w:bottom w:type="dxa" w:w="60"/>
              <w:right w:type="dxa" w:w="100"/>
            </w:tcMar>
          </w:tcPr>
          <w:p>
            <w:pPr>
              <w:jc w:val="left"/>
            </w:pPr>
            <w:r>
              <w:rPr>
                <w:color w:val="2D2D2D"/>
                <w:sz w:val="20"/>
                <w:szCs w:val="20"/>
              </w:rPr>
              <w:t xml:space="preserve">Northern Cape</w:t>
            </w:r>
          </w:p>
        </w:tc>
        <w:tc>
          <w:tcPr>
            <w:tcW w:type="dxa" w:w="3000"/>
            <w:shd w:fill="FFFFFF" w:val="clear"/>
            <w:tcMar>
              <w:top w:type="dxa" w:w="60"/>
              <w:left w:type="dxa" w:w="100"/>
              <w:bottom w:type="dxa" w:w="60"/>
              <w:right w:type="dxa" w:w="100"/>
            </w:tcMar>
          </w:tcPr>
          <w:p>
            <w:pPr>
              <w:jc w:val="left"/>
            </w:pPr>
            <w:r>
              <w:rPr>
                <w:color w:val="2D2D2D"/>
                <w:sz w:val="20"/>
                <w:szCs w:val="20"/>
              </w:rPr>
              <w:t xml:space="preserve">Chronically low</w:t>
            </w:r>
          </w:p>
        </w:tc>
      </w:tr>
      <w:tr>
        <w:tc>
          <w:tcPr>
            <w:tcW w:type="dxa" w:w="3000"/>
            <w:shd w:fill="F2F2F2" w:val="clear"/>
            <w:tcMar>
              <w:top w:type="dxa" w:w="60"/>
              <w:left w:type="dxa" w:w="100"/>
              <w:bottom w:type="dxa" w:w="60"/>
              <w:right w:type="dxa" w:w="100"/>
            </w:tcMar>
          </w:tcPr>
          <w:p>
            <w:pPr>
              <w:jc w:val="left"/>
            </w:pPr>
            <w:r>
              <w:rPr>
                <w:color w:val="2D2D2D"/>
                <w:sz w:val="20"/>
                <w:szCs w:val="20"/>
              </w:rPr>
              <w:t xml:space="preserve">Bottom</w:t>
            </w:r>
          </w:p>
        </w:tc>
        <w:tc>
          <w:tcPr>
            <w:tcW w:type="dxa" w:w="3000"/>
            <w:shd w:fill="F2F2F2" w:val="clear"/>
            <w:tcMar>
              <w:top w:type="dxa" w:w="60"/>
              <w:left w:type="dxa" w:w="100"/>
              <w:bottom w:type="dxa" w:w="60"/>
              <w:right w:type="dxa" w:w="100"/>
            </w:tcMar>
          </w:tcPr>
          <w:p>
            <w:pPr>
              <w:jc w:val="left"/>
            </w:pPr>
            <w:r>
              <w:rPr>
                <w:color w:val="2D2D2D"/>
                <w:sz w:val="20"/>
                <w:szCs w:val="20"/>
              </w:rPr>
              <w:t xml:space="preserve">North West</w:t>
            </w:r>
          </w:p>
        </w:tc>
        <w:tc>
          <w:tcPr>
            <w:tcW w:type="dxa" w:w="3000"/>
            <w:shd w:fill="F2F2F2" w:val="clear"/>
            <w:tcMar>
              <w:top w:type="dxa" w:w="60"/>
              <w:left w:type="dxa" w:w="100"/>
              <w:bottom w:type="dxa" w:w="60"/>
              <w:right w:type="dxa" w:w="100"/>
            </w:tcMar>
          </w:tcPr>
          <w:p>
            <w:pPr>
              <w:jc w:val="left"/>
            </w:pPr>
            <w:r>
              <w:rPr>
                <w:color w:val="2D2D2D"/>
                <w:sz w:val="20"/>
                <w:szCs w:val="20"/>
              </w:rPr>
              <w:t xml:space="preserve">Chronically low</w:t>
            </w:r>
          </w:p>
        </w:tc>
      </w:tr>
      <w:tr>
        <w:tc>
          <w:tcPr>
            <w:tcW w:type="dxa" w:w="3000"/>
            <w:shd w:fill="FFFFFF" w:val="clear"/>
            <w:tcMar>
              <w:top w:type="dxa" w:w="60"/>
              <w:left w:type="dxa" w:w="100"/>
              <w:bottom w:type="dxa" w:w="60"/>
              <w:right w:type="dxa" w:w="100"/>
            </w:tcMar>
          </w:tcPr>
          <w:p>
            <w:pPr>
              <w:jc w:val="left"/>
            </w:pPr>
            <w:r>
              <w:rPr>
                <w:color w:val="2D2D2D"/>
                <w:sz w:val="20"/>
                <w:szCs w:val="20"/>
              </w:rPr>
              <w:t xml:space="preserve">Bottom</w:t>
            </w:r>
          </w:p>
        </w:tc>
        <w:tc>
          <w:tcPr>
            <w:tcW w:type="dxa" w:w="3000"/>
            <w:shd w:fill="FFFFFF" w:val="clear"/>
            <w:tcMar>
              <w:top w:type="dxa" w:w="60"/>
              <w:left w:type="dxa" w:w="100"/>
              <w:bottom w:type="dxa" w:w="60"/>
              <w:right w:type="dxa" w:w="100"/>
            </w:tcMar>
          </w:tcPr>
          <w:p>
            <w:pPr>
              <w:jc w:val="left"/>
            </w:pPr>
            <w:r>
              <w:rPr>
                <w:color w:val="2D2D2D"/>
                <w:sz w:val="20"/>
                <w:szCs w:val="20"/>
              </w:rPr>
              <w:t xml:space="preserve">Free State</w:t>
            </w:r>
          </w:p>
        </w:tc>
        <w:tc>
          <w:tcPr>
            <w:tcW w:type="dxa" w:w="3000"/>
            <w:shd w:fill="FFFFFF" w:val="clear"/>
            <w:tcMar>
              <w:top w:type="dxa" w:w="60"/>
              <w:left w:type="dxa" w:w="100"/>
              <w:bottom w:type="dxa" w:w="60"/>
              <w:right w:type="dxa" w:w="100"/>
            </w:tcMar>
          </w:tcPr>
          <w:p>
            <w:pPr>
              <w:jc w:val="left"/>
            </w:pPr>
            <w:r>
              <w:rPr>
                <w:color w:val="2D2D2D"/>
                <w:sz w:val="20"/>
                <w:szCs w:val="20"/>
              </w:rPr>
              <w:t xml:space="preserve">Chronically low</w:t>
            </w:r>
          </w:p>
        </w:tc>
      </w:tr>
    </w:tbl>
    <w:p>
      <w:pPr>
        <w:spacing w:after="100" w:before="100"/>
      </w:pPr>
    </w:p>
    <w:p>
      <w:pPr>
        <w:spacing w:after="100" w:before="100"/>
        <w:jc w:val="both"/>
      </w:pPr>
      <w:r>
        <w:rPr>
          <w:color w:val="2D2D2D"/>
          <w:sz w:val="22"/>
          <w:szCs w:val="22"/>
        </w:rPr>
        <w:t xml:space="preserve">Mpumalanga's appearance in the top 3 for consumption despite lower subscriber numbers indicates exceptionally high engagement per subscriber — making it a high-priority province for subscriber growth campaigns given the proven appetite for content.</w:t>
      </w:r>
    </w:p>
    <w:p>
      <w:r>
        <w:br w:type="page"/>
      </w:r>
    </w:p>
    <w:p>
      <w:pPr>
        <w:pStyle w:val="Heading1"/>
        <w:spacing w:after="200" w:before="400"/>
        <w:rPr>
          <w:b/>
          <w:bCs/>
          <w:color w:val="1B3A6B"/>
          <w:sz w:val="28"/>
          <w:szCs w:val="28"/>
        </w:rPr>
      </w:pPr>
      <w:r>
        <w:t xml:space="preserve">7. Recommendations</w:t>
      </w:r>
    </w:p>
    <w:p>
      <w:pPr>
        <w:spacing w:after="100" w:before="100"/>
      </w:pPr>
    </w:p>
    <w:p>
      <w:pPr>
        <w:pStyle w:val="Heading2"/>
        <w:spacing w:after="150" w:before="300"/>
        <w:rPr>
          <w:b/>
          <w:bCs/>
          <w:color w:val="1B3A6B"/>
          <w:sz w:val="24"/>
          <w:szCs w:val="24"/>
        </w:rPr>
      </w:pPr>
      <w:r>
        <w:t xml:space="preserve">7.1 Question 1: User and Usage Trends</w:t>
      </w:r>
    </w:p>
    <w:p>
      <w:pPr>
        <w:spacing w:after="100" w:before="100"/>
        <w:jc w:val="both"/>
      </w:pPr>
      <w:r>
        <w:rPr>
          <w:color w:val="2D2D2D"/>
          <w:sz w:val="22"/>
          <w:szCs w:val="22"/>
        </w:rPr>
        <w:t xml:space="preserve">BrightTV's typical subscriber is a male adult (30-59 years) based in Gauteng who watches sport and news content between 17:00-18:00 on Saturdays. The platform recorded 192% growth in viewing minutes from January to March 2026 — a strongly positive trajectory that must be protected and accelerated through targeted initiatives.</w:t>
      </w:r>
    </w:p>
    <w:p>
      <w:pPr>
        <w:spacing w:after="100" w:before="100"/>
      </w:pPr>
    </w:p>
    <w:p>
      <w:pPr>
        <w:pStyle w:val="Heading2"/>
        <w:spacing w:after="150" w:before="300"/>
        <w:rPr>
          <w:b/>
          <w:bCs/>
          <w:color w:val="1B3A6B"/>
          <w:sz w:val="24"/>
          <w:szCs w:val="24"/>
        </w:rPr>
      </w:pPr>
      <w:r>
        <w:t xml:space="preserve">7.2 Question 2: Factors Influencing Consumption</w:t>
      </w:r>
    </w:p>
    <w:p>
      <w:pPr>
        <w:pStyle w:val="ListParagraph"/>
        <w:numPr>
          <w:ilvl w:val="0"/>
          <w:numId w:val="1"/>
        </w:numPr>
        <w:spacing w:after="60" w:before="60"/>
        <w:ind w:left="720"/>
      </w:pPr>
      <w:r>
        <w:rPr>
          <w:b/>
          <w:bCs/>
          <w:color w:val="2D2D2D"/>
          <w:sz w:val="22"/>
          <w:szCs w:val="22"/>
        </w:rPr>
        <w:t xml:space="preserve">Time of day: The 17:00-18:00 window drives peak consumption — all premium content, new episodes and high-investment programming should be scheduled in this window to maximise viewership.</w:t>
      </w:r>
    </w:p>
    <w:p>
      <w:pPr>
        <w:pStyle w:val="ListParagraph"/>
        <w:numPr>
          <w:ilvl w:val="0"/>
          <w:numId w:val="1"/>
        </w:numPr>
        <w:spacing w:after="60" w:before="60"/>
        <w:ind w:left="720"/>
      </w:pPr>
      <w:r>
        <w:rPr>
          <w:b/>
          <w:bCs/>
          <w:color w:val="2D2D2D"/>
          <w:sz w:val="22"/>
          <w:szCs w:val="22"/>
        </w:rPr>
        <w:t xml:space="preserve">Day of week: Saturday is consistently the strongest viewing day. Monday and Tuesday consistently underperform due to the Monday blues effect — these days require active intervention.</w:t>
      </w:r>
    </w:p>
    <w:p>
      <w:pPr>
        <w:pStyle w:val="ListParagraph"/>
        <w:numPr>
          <w:ilvl w:val="0"/>
          <w:numId w:val="1"/>
        </w:numPr>
        <w:spacing w:after="60" w:before="60"/>
        <w:ind w:left="720"/>
      </w:pPr>
      <w:r>
        <w:rPr>
          <w:b/>
          <w:bCs/>
          <w:color w:val="2D2D2D"/>
          <w:sz w:val="22"/>
          <w:szCs w:val="22"/>
        </w:rPr>
        <w:t xml:space="preserve">Content type: ICC Cricket World Cup 2011 is the single largest consumption driver — creating dangerous overreliance on an aging replay title.</w:t>
      </w:r>
    </w:p>
    <w:p>
      <w:pPr>
        <w:pStyle w:val="ListParagraph"/>
        <w:numPr>
          <w:ilvl w:val="0"/>
          <w:numId w:val="1"/>
        </w:numPr>
        <w:spacing w:after="60" w:before="60"/>
        <w:ind w:left="720"/>
      </w:pPr>
      <w:r>
        <w:rPr>
          <w:b/>
          <w:bCs/>
          <w:color w:val="2D2D2D"/>
          <w:sz w:val="22"/>
          <w:szCs w:val="22"/>
        </w:rPr>
        <w:t xml:space="preserve">Province: Gauteng, Western Cape and Mpumalanga drive most consumption. Northern Cape, Free State and North West are chronically underperforming.</w:t>
      </w:r>
    </w:p>
    <w:p>
      <w:pPr>
        <w:pStyle w:val="ListParagraph"/>
        <w:numPr>
          <w:ilvl w:val="0"/>
          <w:numId w:val="1"/>
        </w:numPr>
        <w:spacing w:after="60" w:before="60"/>
        <w:ind w:left="720"/>
      </w:pPr>
      <w:r>
        <w:rPr>
          <w:b/>
          <w:bCs/>
          <w:color w:val="2D2D2D"/>
          <w:sz w:val="22"/>
          <w:szCs w:val="22"/>
        </w:rPr>
        <w:t xml:space="preserve">Gender: Content preference differs fundamentally between male and female subscribers — a unified content strategy will not serve both segments effectively.</w:t>
      </w:r>
    </w:p>
    <w:p>
      <w:pPr>
        <w:spacing w:after="100" w:before="100"/>
      </w:pPr>
    </w:p>
    <w:p>
      <w:pPr>
        <w:pStyle w:val="Heading2"/>
        <w:spacing w:after="150" w:before="300"/>
        <w:rPr>
          <w:b/>
          <w:bCs/>
          <w:color w:val="1B3A6B"/>
          <w:sz w:val="24"/>
          <w:szCs w:val="24"/>
        </w:rPr>
      </w:pPr>
      <w:r>
        <w:t xml:space="preserve">7.3 Question 3: Content Recommendations for Low Consumption Days</w:t>
      </w:r>
    </w:p>
    <w:p>
      <w:pPr>
        <w:pStyle w:val="ListParagraph"/>
        <w:numPr>
          <w:ilvl w:val="0"/>
          <w:numId w:val="1"/>
        </w:numPr>
        <w:spacing w:after="60" w:before="60"/>
        <w:ind w:left="720"/>
      </w:pPr>
      <w:r>
        <w:rPr>
          <w:b/>
          <w:bCs/>
          <w:color w:val="2D2D2D"/>
          <w:sz w:val="22"/>
          <w:szCs w:val="22"/>
        </w:rPr>
        <w:t xml:space="preserve">Monday and Tuesday intervention: Implement lead-in and lead-out programming on these days — schedule top-performing content (Trace TV, SuperSport) immediately before and after weaker content to lift overall consumption through audience retention.</w:t>
      </w:r>
    </w:p>
    <w:p>
      <w:pPr>
        <w:pStyle w:val="ListParagraph"/>
        <w:numPr>
          <w:ilvl w:val="0"/>
          <w:numId w:val="1"/>
        </w:numPr>
        <w:spacing w:after="60" w:before="60"/>
        <w:ind w:left="720"/>
      </w:pPr>
      <w:r>
        <w:rPr>
          <w:b/>
          <w:bCs/>
          <w:color w:val="2D2D2D"/>
          <w:sz w:val="22"/>
          <w:szCs w:val="22"/>
        </w:rPr>
        <w:t xml:space="preserve">January strategy: The post-holiday slow start is predictable and preventable. Schedule a major content premiere or special event in the first two weeks of January to engage subscribers returning from holiday.</w:t>
      </w:r>
    </w:p>
    <w:p>
      <w:pPr>
        <w:pStyle w:val="ListParagraph"/>
        <w:numPr>
          <w:ilvl w:val="0"/>
          <w:numId w:val="1"/>
        </w:numPr>
        <w:spacing w:after="60" w:before="60"/>
        <w:ind w:left="720"/>
      </w:pPr>
      <w:r>
        <w:rPr>
          <w:b/>
          <w:bCs/>
          <w:color w:val="2D2D2D"/>
          <w:sz w:val="22"/>
          <w:szCs w:val="22"/>
        </w:rPr>
        <w:t xml:space="preserve">New Year's Day: Plan a dedicated programming event for 1 January annually — families are at home but not watching. A special broadcast event can capture this audience.</w:t>
      </w:r>
    </w:p>
    <w:p>
      <w:pPr>
        <w:pStyle w:val="ListParagraph"/>
        <w:numPr>
          <w:ilvl w:val="0"/>
          <w:numId w:val="1"/>
        </w:numPr>
        <w:spacing w:after="60" w:before="60"/>
        <w:ind w:left="720"/>
      </w:pPr>
      <w:r>
        <w:rPr>
          <w:b/>
          <w:bCs/>
          <w:color w:val="2D2D2D"/>
          <w:sz w:val="22"/>
          <w:szCs w:val="22"/>
        </w:rPr>
        <w:t xml:space="preserve">Replicate the March spike: Investigate what specific content and campaigns drove the 192% growth from January to March and develop a replication strategy for the next quarter.</w:t>
      </w:r>
    </w:p>
    <w:p>
      <w:pPr>
        <w:pStyle w:val="ListParagraph"/>
        <w:numPr>
          <w:ilvl w:val="0"/>
          <w:numId w:val="1"/>
        </w:numPr>
        <w:spacing w:after="60" w:before="60"/>
        <w:ind w:left="720"/>
      </w:pPr>
      <w:r>
        <w:rPr>
          <w:b/>
          <w:bCs/>
          <w:color w:val="2D2D2D"/>
          <w:sz w:val="22"/>
          <w:szCs w:val="22"/>
        </w:rPr>
        <w:t xml:space="preserve">Monday/Tuesday digital campaigns: Deploy targeted email and social media push notifications specifically on Monday and Tuesday to remind subscribers to watch and drive platform traffic on historically low days.</w:t>
      </w:r>
    </w:p>
    <w:p>
      <w:pPr>
        <w:pStyle w:val="ListParagraph"/>
        <w:numPr>
          <w:ilvl w:val="0"/>
          <w:numId w:val="1"/>
        </w:numPr>
        <w:spacing w:after="60" w:before="60"/>
        <w:ind w:left="720"/>
      </w:pPr>
      <w:r>
        <w:rPr>
          <w:b/>
          <w:bCs/>
          <w:color w:val="2D2D2D"/>
          <w:sz w:val="22"/>
          <w:szCs w:val="22"/>
        </w:rPr>
        <w:t xml:space="preserve">Peak window scheduling: Prioritise new content releases and high-investment programming in the 17:00-19:00 window on low consumption days to maximise reach.</w:t>
      </w:r>
    </w:p>
    <w:p>
      <w:pPr>
        <w:spacing w:after="100" w:before="100"/>
      </w:pPr>
    </w:p>
    <w:p>
      <w:pPr>
        <w:pStyle w:val="Heading2"/>
        <w:spacing w:after="150" w:before="300"/>
        <w:rPr>
          <w:b/>
          <w:bCs/>
          <w:color w:val="1B3A6B"/>
          <w:sz w:val="24"/>
          <w:szCs w:val="24"/>
        </w:rPr>
      </w:pPr>
      <w:r>
        <w:t xml:space="preserve">7.4 Question 4: Initiatives to Grow the User Base</w:t>
      </w:r>
    </w:p>
    <w:p>
      <w:pPr>
        <w:spacing w:after="100" w:before="100"/>
      </w:pPr>
    </w:p>
    <w:p>
      <w:pPr>
        <w:pStyle w:val="Heading3"/>
        <w:spacing w:after="100" w:before="200"/>
        <w:rPr>
          <w:b/>
          <w:bCs/>
          <w:color w:val="F2994A"/>
          <w:sz w:val="22"/>
          <w:szCs w:val="22"/>
        </w:rPr>
      </w:pPr>
      <w:r>
        <w:t xml:space="preserve">Gender Initiatives</w:t>
      </w:r>
    </w:p>
    <w:p>
      <w:pPr>
        <w:pStyle w:val="ListParagraph"/>
        <w:numPr>
          <w:ilvl w:val="0"/>
          <w:numId w:val="1"/>
        </w:numPr>
        <w:spacing w:after="60" w:before="60"/>
        <w:ind w:left="720"/>
      </w:pPr>
      <w:r>
        <w:rPr>
          <w:b/>
          <w:bCs/>
          <w:color w:val="2D2D2D"/>
          <w:sz w:val="22"/>
          <w:szCs w:val="22"/>
        </w:rPr>
        <w:t xml:space="preserve">Female acquisition campaign: The 7:1 male-to-female imbalance is the single largest growth opportunity available. Launch targeted social media campaigns highlighting Trace TV, Cartoon Network and SuperSport Live Events — the channels female subscribers already prefer.</w:t>
      </w:r>
    </w:p>
    <w:p>
      <w:pPr>
        <w:pStyle w:val="ListParagraph"/>
        <w:numPr>
          <w:ilvl w:val="0"/>
          <w:numId w:val="1"/>
        </w:numPr>
        <w:spacing w:after="60" w:before="60"/>
        <w:ind w:left="720"/>
      </w:pPr>
      <w:r>
        <w:rPr>
          <w:b/>
          <w:bCs/>
          <w:color w:val="2D2D2D"/>
          <w:sz w:val="22"/>
          <w:szCs w:val="22"/>
        </w:rPr>
        <w:t xml:space="preserve">Teen girl strategy: Only 14 female teenagers are currently subscribing. Launch social media challenges, influencer campaigns and youth promotions targeting the 13-17 female demographic — this segment is among the highest entertainment consumers globally.</w:t>
      </w:r>
    </w:p>
    <w:p>
      <w:pPr>
        <w:spacing w:after="100" w:before="100"/>
      </w:pPr>
    </w:p>
    <w:p>
      <w:pPr>
        <w:pStyle w:val="Heading3"/>
        <w:spacing w:after="100" w:before="200"/>
        <w:rPr>
          <w:b/>
          <w:bCs/>
          <w:color w:val="F2994A"/>
          <w:sz w:val="22"/>
          <w:szCs w:val="22"/>
        </w:rPr>
      </w:pPr>
      <w:r>
        <w:t xml:space="preserve">Age Group Initiatives</w:t>
      </w:r>
    </w:p>
    <w:p>
      <w:pPr>
        <w:pStyle w:val="ListParagraph"/>
        <w:numPr>
          <w:ilvl w:val="0"/>
          <w:numId w:val="1"/>
        </w:numPr>
        <w:spacing w:after="60" w:before="60"/>
        <w:ind w:left="720"/>
      </w:pPr>
      <w:r>
        <w:rPr>
          <w:b/>
          <w:bCs/>
          <w:color w:val="2D2D2D"/>
          <w:sz w:val="22"/>
          <w:szCs w:val="22"/>
        </w:rPr>
        <w:t xml:space="preserve">Family bundle: 174 kids accounts have unknown profiles, indicating families already watching but parents not completing registration. Introduce family bundle pricing and incentivise profile completion with rewards, discounts or exclusive content access.</w:t>
      </w:r>
    </w:p>
    <w:p>
      <w:pPr>
        <w:pStyle w:val="ListParagraph"/>
        <w:numPr>
          <w:ilvl w:val="0"/>
          <w:numId w:val="1"/>
        </w:numPr>
        <w:spacing w:after="60" w:before="60"/>
        <w:ind w:left="720"/>
      </w:pPr>
      <w:r>
        <w:rPr>
          <w:b/>
          <w:bCs/>
          <w:color w:val="2D2D2D"/>
          <w:sz w:val="22"/>
          <w:szCs w:val="22"/>
        </w:rPr>
        <w:t xml:space="preserve">Kids content partnerships: Partner with children's show producers to create original South African children's content. Offer branded merchandise and personalised stationery for kids. This retains existing families and attracts new family subscriptions.</w:t>
      </w:r>
    </w:p>
    <w:p>
      <w:pPr>
        <w:pStyle w:val="ListParagraph"/>
        <w:numPr>
          <w:ilvl w:val="0"/>
          <w:numId w:val="1"/>
        </w:numPr>
        <w:spacing w:after="60" w:before="60"/>
        <w:ind w:left="720"/>
      </w:pPr>
      <w:r>
        <w:rPr>
          <w:b/>
          <w:bCs/>
          <w:color w:val="2D2D2D"/>
          <w:sz w:val="22"/>
          <w:szCs w:val="22"/>
        </w:rPr>
        <w:t xml:space="preserve">Pensioner engagement: SuperSport content resonates with the 60+ segment. Develop community partnership programmes, discounted pensioner subscription tiers and promote SuperSport content through retirement community channels.</w:t>
      </w:r>
    </w:p>
    <w:p>
      <w:pPr>
        <w:spacing w:after="100" w:before="100"/>
      </w:pPr>
    </w:p>
    <w:p>
      <w:pPr>
        <w:pStyle w:val="Heading3"/>
        <w:spacing w:after="100" w:before="200"/>
        <w:rPr>
          <w:b/>
          <w:bCs/>
          <w:color w:val="F2994A"/>
          <w:sz w:val="22"/>
          <w:szCs w:val="22"/>
        </w:rPr>
      </w:pPr>
      <w:r>
        <w:t xml:space="preserve">Geographic Initiatives</w:t>
      </w:r>
    </w:p>
    <w:p>
      <w:pPr>
        <w:pStyle w:val="ListParagraph"/>
        <w:numPr>
          <w:ilvl w:val="0"/>
          <w:numId w:val="1"/>
        </w:numPr>
        <w:spacing w:after="60" w:before="60"/>
        <w:ind w:left="720"/>
      </w:pPr>
      <w:r>
        <w:rPr>
          <w:b/>
          <w:bCs/>
          <w:color w:val="2D2D2D"/>
          <w:sz w:val="22"/>
          <w:szCs w:val="22"/>
        </w:rPr>
        <w:t xml:space="preserve">Bottom 3 province campaign: Northern Cape, Free State and North West underperform for both genders. Launch targeted regional campaigns through local radio stations, community organisations and regional social media channels.</w:t>
      </w:r>
    </w:p>
    <w:p>
      <w:pPr>
        <w:pStyle w:val="ListParagraph"/>
        <w:numPr>
          <w:ilvl w:val="0"/>
          <w:numId w:val="1"/>
        </w:numPr>
        <w:spacing w:after="60" w:before="60"/>
        <w:ind w:left="720"/>
      </w:pPr>
      <w:r>
        <w:rPr>
          <w:b/>
          <w:bCs/>
          <w:color w:val="2D2D2D"/>
          <w:sz w:val="22"/>
          <w:szCs w:val="22"/>
        </w:rPr>
        <w:t xml:space="preserve">Mpumalanga growth investment: Mpumalanga already demonstrates high consumption per subscriber — high engagement is proven. Run targeted subscriber acquisition campaigns here to convert high engagement into subscriber growth.</w:t>
      </w:r>
    </w:p>
    <w:p>
      <w:pPr>
        <w:spacing w:after="100" w:before="100"/>
      </w:pPr>
    </w:p>
    <w:p>
      <w:pPr>
        <w:pStyle w:val="Heading3"/>
        <w:spacing w:after="100" w:before="200"/>
        <w:rPr>
          <w:b/>
          <w:bCs/>
          <w:color w:val="F2994A"/>
          <w:sz w:val="22"/>
          <w:szCs w:val="22"/>
        </w:rPr>
      </w:pPr>
      <w:r>
        <w:t xml:space="preserve">Content Initiatives</w:t>
      </w:r>
    </w:p>
    <w:p>
      <w:pPr>
        <w:pStyle w:val="ListParagraph"/>
        <w:numPr>
          <w:ilvl w:val="0"/>
          <w:numId w:val="1"/>
        </w:numPr>
        <w:spacing w:after="60" w:before="60"/>
        <w:ind w:left="720"/>
      </w:pPr>
      <w:r>
        <w:rPr>
          <w:b/>
          <w:bCs/>
          <w:color w:val="2D2D2D"/>
          <w:sz w:val="22"/>
          <w:szCs w:val="22"/>
        </w:rPr>
        <w:t xml:space="preserve">Reduce cricket dependency urgently: ICC Cricket World Cup 2011 is a 15-year-old replay. BrightTV cannot sustain viewership on one aging sports title. Invest in live sports broadcasting rights or acquire current sports content to replace this dependency.</w:t>
      </w:r>
    </w:p>
    <w:p>
      <w:pPr>
        <w:pStyle w:val="ListParagraph"/>
        <w:numPr>
          <w:ilvl w:val="0"/>
          <w:numId w:val="1"/>
        </w:numPr>
        <w:spacing w:after="60" w:before="60"/>
        <w:ind w:left="720"/>
      </w:pPr>
      <w:r>
        <w:rPr>
          <w:b/>
          <w:bCs/>
          <w:color w:val="2D2D2D"/>
          <w:sz w:val="22"/>
          <w:szCs w:val="22"/>
        </w:rPr>
        <w:t xml:space="preserve">Invest in Trace TV: Trace TV appeals simultaneously to Youth, Kids, Teenagers and Females — the four most underrepresented and highest-growth segments. It is the single highest-return content investment available to BrightTV.</w:t>
      </w:r>
    </w:p>
    <w:p>
      <w:pPr>
        <w:pStyle w:val="ListParagraph"/>
        <w:numPr>
          <w:ilvl w:val="0"/>
          <w:numId w:val="1"/>
        </w:numPr>
        <w:spacing w:after="60" w:before="60"/>
        <w:ind w:left="720"/>
      </w:pPr>
      <w:r>
        <w:rPr>
          <w:b/>
          <w:bCs/>
          <w:color w:val="2D2D2D"/>
          <w:sz w:val="22"/>
          <w:szCs w:val="22"/>
        </w:rPr>
        <w:t xml:space="preserve">Revive underperforming channels strategically: Wimbledon, Vuzu, MK, M-Net and SawSee serve specific audience niches. Rather than removing them, apply the lead-in and lead-out programming strategy — schedule them between strong performing content to lift their viewership through audience carry-over.</w:t>
      </w:r>
    </w:p>
    <w:p>
      <w:pPr>
        <w:pStyle w:val="ListParagraph"/>
        <w:numPr>
          <w:ilvl w:val="0"/>
          <w:numId w:val="1"/>
        </w:numPr>
        <w:spacing w:after="60" w:before="60"/>
        <w:ind w:left="720"/>
      </w:pPr>
      <w:r>
        <w:rPr>
          <w:b/>
          <w:bCs/>
          <w:color w:val="2D2D2D"/>
          <w:sz w:val="22"/>
          <w:szCs w:val="22"/>
        </w:rPr>
        <w:t xml:space="preserve">Multilingual content strategy: Introduce original programming in Zulu, Afrikaans, Sotho and Hindi to attract underrepresented communities and position BrightTV as South Africa's truly inclusive broadcaster. This directly addresses the race distribution gap and opens BrightTV to entirely new audience segments.</w:t>
      </w:r>
    </w:p>
    <w:p>
      <w:r>
        <w:br w:type="page"/>
      </w:r>
    </w:p>
    <w:p>
      <w:pPr>
        <w:pStyle w:val="Heading1"/>
        <w:spacing w:after="200" w:before="400"/>
        <w:rPr>
          <w:b/>
          <w:bCs/>
          <w:color w:val="1B3A6B"/>
          <w:sz w:val="28"/>
          <w:szCs w:val="28"/>
        </w:rPr>
      </w:pPr>
      <w:r>
        <w:t xml:space="preserve">8. Conclusion</w:t>
      </w:r>
    </w:p>
    <w:p>
      <w:pPr>
        <w:spacing w:after="100" w:before="100"/>
        <w:jc w:val="both"/>
      </w:pPr>
      <w:r>
        <w:rPr>
          <w:color w:val="2D2D2D"/>
          <w:sz w:val="22"/>
          <w:szCs w:val="22"/>
        </w:rPr>
        <w:t xml:space="preserve">This analysis of 10,000 viewing sessions across 4,386 BrightTV subscribers reveals a platform with strong growth momentum but significant concentration risks. The 192% growth in viewing minutes from January to March 2026 demonstrates that the audience is engaged and growing — but the overreliance on a single aging cricket replay title, a 7:1 male-to-female subscriber imbalance and geographic concentration in Gauteng represent structural vulnerabilities that must be addressed.</w:t>
      </w:r>
    </w:p>
    <w:p>
      <w:pPr>
        <w:spacing w:after="100" w:before="100"/>
      </w:pPr>
    </w:p>
    <w:p>
      <w:pPr>
        <w:spacing w:after="100" w:before="100"/>
        <w:jc w:val="both"/>
      </w:pPr>
      <w:r>
        <w:rPr>
          <w:color w:val="2D2D2D"/>
          <w:sz w:val="22"/>
          <w:szCs w:val="22"/>
        </w:rPr>
        <w:t xml:space="preserve">The path to subscriber base growth is clear and evidence-based: target the underrepresented female audience with content they already prefer (Trace TV, Cartoon Network), invest in youth and kids content to build the next generation of subscribers, launch geographic campaigns in the bottom 3 provinces, and diversify content away from cricket dependency.</w:t>
      </w:r>
    </w:p>
    <w:p>
      <w:pPr>
        <w:spacing w:after="100" w:before="100"/>
      </w:pPr>
    </w:p>
    <w:p>
      <w:pPr>
        <w:spacing w:after="100" w:before="100"/>
        <w:jc w:val="both"/>
      </w:pPr>
      <w:r>
        <w:rPr>
          <w:color w:val="2D2D2D"/>
          <w:sz w:val="22"/>
          <w:szCs w:val="22"/>
        </w:rPr>
        <w:t xml:space="preserve">Saturday evenings between 17:00-19:00 are BrightTV's most valuable scheduling window — this should be protected and premium content prioritised here. Monday and Tuesday require active intervention through lead-in programming and digital engagement campaigns.</w:t>
      </w:r>
    </w:p>
    <w:p>
      <w:pPr>
        <w:spacing w:after="100" w:before="100"/>
      </w:pPr>
    </w:p>
    <w:p>
      <w:pPr>
        <w:spacing w:after="300" w:before="300"/>
        <w:jc w:val="center"/>
      </w:pPr>
      <w:r>
        <w:rPr>
          <w:b/>
          <w:bCs/>
          <w:i/>
          <w:iCs/>
          <w:color w:val="1B3A6B"/>
          <w:sz w:val="24"/>
          <w:szCs w:val="24"/>
        </w:rPr>
        <w:t xml:space="preserve">"BrightTV has a loyal but narrow subscriber base — predominantly male, adult, Gauteng-based and cricket-dependent. The opportunity to double the subscriber base exists by targeting females, teenagers, kids and bottom 3 provinces with the right content, campaigns and partnerships."</w:t>
      </w:r>
    </w:p>
    <w:p>
      <w:r>
        <w:br w:type="page"/>
      </w:r>
    </w:p>
    <w:p>
      <w:pPr>
        <w:pStyle w:val="Heading1"/>
        <w:spacing w:after="200" w:before="400"/>
        <w:rPr>
          <w:b/>
          <w:bCs/>
          <w:color w:val="1B3A6B"/>
          <w:sz w:val="28"/>
          <w:szCs w:val="28"/>
        </w:rPr>
      </w:pPr>
      <w:r>
        <w:t xml:space="preserve">Appendix — Skills and Tools</w:t>
      </w:r>
    </w:p>
    <w:p>
      <w:pPr>
        <w:pStyle w:val="Heading2"/>
        <w:spacing w:after="150" w:before="300"/>
        <w:rPr>
          <w:b/>
          <w:bCs/>
          <w:color w:val="1B3A6B"/>
          <w:sz w:val="24"/>
          <w:szCs w:val="24"/>
        </w:rPr>
      </w:pPr>
      <w:r>
        <w:t xml:space="preserve">Technical Skills Demonstrated</w:t>
      </w:r>
    </w:p>
    <w:p>
      <w:pPr>
        <w:spacing w:after="100" w:before="100"/>
      </w:pPr>
    </w:p>
    <w:p>
      <w:pPr>
        <w:pStyle w:val="Heading3"/>
        <w:spacing w:after="100" w:before="200"/>
        <w:rPr>
          <w:b/>
          <w:bCs/>
          <w:color w:val="F2994A"/>
          <w:sz w:val="22"/>
          <w:szCs w:val="22"/>
        </w:rPr>
      </w:pPr>
      <w:r>
        <w:t xml:space="preserve">SQL (Databricks SQL)</w:t>
      </w:r>
    </w:p>
    <w:p>
      <w:pPr>
        <w:pStyle w:val="ListParagraph"/>
        <w:numPr>
          <w:ilvl w:val="0"/>
          <w:numId w:val="1"/>
        </w:numPr>
        <w:spacing w:after="60" w:before="60"/>
        <w:ind w:left="720"/>
      </w:pPr>
      <w:r>
        <w:rPr>
          <w:b w:val="false"/>
          <w:bCs w:val="false"/>
          <w:color w:val="2D2D2D"/>
          <w:sz w:val="22"/>
          <w:szCs w:val="22"/>
        </w:rPr>
        <w:t xml:space="preserve">Exploratory queries: DESCRIBE, SELECT LIMIT, SELECT DISTINCT</w:t>
      </w:r>
    </w:p>
    <w:p>
      <w:pPr>
        <w:pStyle w:val="ListParagraph"/>
        <w:numPr>
          <w:ilvl w:val="0"/>
          <w:numId w:val="1"/>
        </w:numPr>
        <w:spacing w:after="60" w:before="60"/>
        <w:ind w:left="720"/>
      </w:pPr>
      <w:r>
        <w:rPr>
          <w:b w:val="false"/>
          <w:bCs w:val="false"/>
          <w:color w:val="2D2D2D"/>
          <w:sz w:val="22"/>
          <w:szCs w:val="22"/>
        </w:rPr>
        <w:t xml:space="preserve">Multi-table JOIN logic: LEFT JOIN with fact and dimension table identification</w:t>
      </w:r>
    </w:p>
    <w:p>
      <w:pPr>
        <w:pStyle w:val="ListParagraph"/>
        <w:numPr>
          <w:ilvl w:val="0"/>
          <w:numId w:val="1"/>
        </w:numPr>
        <w:spacing w:after="60" w:before="60"/>
        <w:ind w:left="720"/>
      </w:pPr>
      <w:r>
        <w:rPr>
          <w:b w:val="false"/>
          <w:bCs w:val="false"/>
          <w:color w:val="2D2D2D"/>
          <w:sz w:val="22"/>
          <w:szCs w:val="22"/>
        </w:rPr>
        <w:t xml:space="preserve">Data transformation: CASE statements for demographic segmentation</w:t>
      </w:r>
    </w:p>
    <w:p>
      <w:pPr>
        <w:pStyle w:val="ListParagraph"/>
        <w:numPr>
          <w:ilvl w:val="0"/>
          <w:numId w:val="1"/>
        </w:numPr>
        <w:spacing w:after="60" w:before="60"/>
        <w:ind w:left="720"/>
      </w:pPr>
      <w:r>
        <w:rPr>
          <w:b w:val="false"/>
          <w:bCs w:val="false"/>
          <w:color w:val="2D2D2D"/>
          <w:sz w:val="22"/>
          <w:szCs w:val="22"/>
        </w:rPr>
        <w:t xml:space="preserve">Date/time manipulation: DATEADD, TO_TIMESTAMP, DATE_FORMAT, HOUR, MONTH, YEAR, DAYOFWEEK</w:t>
      </w:r>
    </w:p>
    <w:p>
      <w:pPr>
        <w:pStyle w:val="ListParagraph"/>
        <w:numPr>
          <w:ilvl w:val="0"/>
          <w:numId w:val="1"/>
        </w:numPr>
        <w:spacing w:after="60" w:before="60"/>
        <w:ind w:left="720"/>
      </w:pPr>
      <w:r>
        <w:rPr>
          <w:b w:val="false"/>
          <w:bCs w:val="false"/>
          <w:color w:val="2D2D2D"/>
          <w:sz w:val="22"/>
          <w:szCs w:val="22"/>
        </w:rPr>
        <w:t xml:space="preserve">String manipulation: Concatenation using || operator</w:t>
      </w:r>
    </w:p>
    <w:p>
      <w:pPr>
        <w:pStyle w:val="ListParagraph"/>
        <w:numPr>
          <w:ilvl w:val="0"/>
          <w:numId w:val="1"/>
        </w:numPr>
        <w:spacing w:after="60" w:before="60"/>
        <w:ind w:left="720"/>
      </w:pPr>
      <w:r>
        <w:rPr>
          <w:b w:val="false"/>
          <w:bCs w:val="false"/>
          <w:color w:val="2D2D2D"/>
          <w:sz w:val="22"/>
          <w:szCs w:val="22"/>
        </w:rPr>
        <w:t xml:space="preserve">Aggregation functions: COUNT, COUNT DISTINCT, SUM, AVG</w:t>
      </w:r>
    </w:p>
    <w:p>
      <w:pPr>
        <w:pStyle w:val="ListParagraph"/>
        <w:numPr>
          <w:ilvl w:val="0"/>
          <w:numId w:val="1"/>
        </w:numPr>
        <w:spacing w:after="60" w:before="60"/>
        <w:ind w:left="720"/>
      </w:pPr>
      <w:r>
        <w:rPr>
          <w:b w:val="false"/>
          <w:bCs w:val="false"/>
          <w:color w:val="2D2D2D"/>
          <w:sz w:val="22"/>
          <w:szCs w:val="22"/>
        </w:rPr>
        <w:t xml:space="preserve">Common Table Expressions (CTEs) for testing transformations</w:t>
      </w:r>
    </w:p>
    <w:p>
      <w:pPr>
        <w:pStyle w:val="ListParagraph"/>
        <w:numPr>
          <w:ilvl w:val="0"/>
          <w:numId w:val="1"/>
        </w:numPr>
        <w:spacing w:after="60" w:before="60"/>
        <w:ind w:left="720"/>
      </w:pPr>
      <w:r>
        <w:rPr>
          <w:b w:val="false"/>
          <w:bCs w:val="false"/>
          <w:color w:val="2D2D2D"/>
          <w:sz w:val="22"/>
          <w:szCs w:val="22"/>
        </w:rPr>
        <w:t xml:space="preserve">Permanent view creation: CREATE OR REPLACE VIEW</w:t>
      </w:r>
    </w:p>
    <w:p>
      <w:pPr>
        <w:pStyle w:val="ListParagraph"/>
        <w:numPr>
          <w:ilvl w:val="0"/>
          <w:numId w:val="1"/>
        </w:numPr>
        <w:spacing w:after="60" w:before="60"/>
        <w:ind w:left="720"/>
      </w:pPr>
      <w:r>
        <w:rPr>
          <w:b w:val="false"/>
          <w:bCs w:val="false"/>
          <w:color w:val="2D2D2D"/>
          <w:sz w:val="22"/>
          <w:szCs w:val="22"/>
        </w:rPr>
        <w:t xml:space="preserve">Filtering and sorting: WHERE, GROUP BY, ORDER BY, LIMIT</w:t>
      </w:r>
    </w:p>
    <w:p>
      <w:pPr>
        <w:pStyle w:val="ListParagraph"/>
        <w:numPr>
          <w:ilvl w:val="0"/>
          <w:numId w:val="1"/>
        </w:numPr>
        <w:spacing w:after="60" w:before="60"/>
        <w:ind w:left="720"/>
      </w:pPr>
      <w:r>
        <w:rPr>
          <w:b w:val="false"/>
          <w:bCs w:val="false"/>
          <w:color w:val="2D2D2D"/>
          <w:sz w:val="22"/>
          <w:szCs w:val="22"/>
        </w:rPr>
        <w:t xml:space="preserve">Professional SQL notebook documentation with inline comments and section headers</w:t>
      </w:r>
    </w:p>
    <w:p>
      <w:pPr>
        <w:spacing w:after="100" w:before="100"/>
      </w:pPr>
    </w:p>
    <w:p>
      <w:pPr>
        <w:pStyle w:val="Heading3"/>
        <w:spacing w:after="100" w:before="200"/>
        <w:rPr>
          <w:b/>
          <w:bCs/>
          <w:color w:val="F2994A"/>
          <w:sz w:val="22"/>
          <w:szCs w:val="22"/>
        </w:rPr>
      </w:pPr>
      <w:r>
        <w:t xml:space="preserve">Data Engineering</w:t>
      </w:r>
    </w:p>
    <w:p>
      <w:pPr>
        <w:pStyle w:val="ListParagraph"/>
        <w:numPr>
          <w:ilvl w:val="0"/>
          <w:numId w:val="1"/>
        </w:numPr>
        <w:spacing w:after="60" w:before="60"/>
        <w:ind w:left="720"/>
      </w:pPr>
      <w:r>
        <w:rPr>
          <w:b w:val="false"/>
          <w:bCs w:val="false"/>
          <w:color w:val="2D2D2D"/>
          <w:sz w:val="22"/>
          <w:szCs w:val="22"/>
        </w:rPr>
        <w:t xml:space="preserve">Connecting raw Excel data to Databricks via CSV upload</w:t>
      </w:r>
    </w:p>
    <w:p>
      <w:pPr>
        <w:pStyle w:val="ListParagraph"/>
        <w:numPr>
          <w:ilvl w:val="0"/>
          <w:numId w:val="1"/>
        </w:numPr>
        <w:spacing w:after="60" w:before="60"/>
        <w:ind w:left="720"/>
      </w:pPr>
      <w:r>
        <w:rPr>
          <w:b w:val="false"/>
          <w:bCs w:val="false"/>
          <w:color w:val="2D2D2D"/>
          <w:sz w:val="22"/>
          <w:szCs w:val="22"/>
        </w:rPr>
        <w:t xml:space="preserve">Designing a clean master analytical view separating raw data from analysis layer</w:t>
      </w:r>
    </w:p>
    <w:p>
      <w:pPr>
        <w:pStyle w:val="ListParagraph"/>
        <w:numPr>
          <w:ilvl w:val="0"/>
          <w:numId w:val="1"/>
        </w:numPr>
        <w:spacing w:after="60" w:before="60"/>
        <w:ind w:left="720"/>
      </w:pPr>
      <w:r>
        <w:rPr>
          <w:b w:val="false"/>
          <w:bCs w:val="false"/>
          <w:color w:val="2D2D2D"/>
          <w:sz w:val="22"/>
          <w:szCs w:val="22"/>
        </w:rPr>
        <w:t xml:space="preserve">Handling multiple data quality issues independently</w:t>
      </w:r>
    </w:p>
    <w:p>
      <w:pPr>
        <w:pStyle w:val="ListParagraph"/>
        <w:numPr>
          <w:ilvl w:val="0"/>
          <w:numId w:val="1"/>
        </w:numPr>
        <w:spacing w:after="60" w:before="60"/>
        <w:ind w:left="720"/>
      </w:pPr>
      <w:r>
        <w:rPr>
          <w:b w:val="false"/>
          <w:bCs w:val="false"/>
          <w:color w:val="2D2D2D"/>
          <w:sz w:val="22"/>
          <w:szCs w:val="22"/>
        </w:rPr>
        <w:t xml:space="preserve">Implementing soft exclusion strategy for incomplete ghost profile records</w:t>
      </w:r>
    </w:p>
    <w:p>
      <w:pPr>
        <w:pStyle w:val="ListParagraph"/>
        <w:numPr>
          <w:ilvl w:val="0"/>
          <w:numId w:val="1"/>
        </w:numPr>
        <w:spacing w:after="60" w:before="60"/>
        <w:ind w:left="720"/>
      </w:pPr>
      <w:r>
        <w:rPr>
          <w:b w:val="false"/>
          <w:bCs w:val="false"/>
          <w:color w:val="2D2D2D"/>
          <w:sz w:val="22"/>
          <w:szCs w:val="22"/>
        </w:rPr>
        <w:t xml:space="preserve">Creating secondary aggregated views for specific visual requirements</w:t>
      </w:r>
    </w:p>
    <w:p>
      <w:pPr>
        <w:spacing w:after="100" w:before="100"/>
      </w:pPr>
    </w:p>
    <w:p>
      <w:pPr>
        <w:pStyle w:val="Heading3"/>
        <w:spacing w:after="100" w:before="200"/>
        <w:rPr>
          <w:b/>
          <w:bCs/>
          <w:color w:val="F2994A"/>
          <w:sz w:val="22"/>
          <w:szCs w:val="22"/>
        </w:rPr>
      </w:pPr>
      <w:r>
        <w:t xml:space="preserve">Data Analysis</w:t>
      </w:r>
    </w:p>
    <w:p>
      <w:pPr>
        <w:pStyle w:val="ListParagraph"/>
        <w:numPr>
          <w:ilvl w:val="0"/>
          <w:numId w:val="1"/>
        </w:numPr>
        <w:spacing w:after="60" w:before="60"/>
        <w:ind w:left="720"/>
      </w:pPr>
      <w:r>
        <w:rPr>
          <w:b w:val="false"/>
          <w:bCs w:val="false"/>
          <w:color w:val="2D2D2D"/>
          <w:sz w:val="22"/>
          <w:szCs w:val="22"/>
        </w:rPr>
        <w:t xml:space="preserve">Exploratory data analysis (EDA)</w:t>
      </w:r>
    </w:p>
    <w:p>
      <w:pPr>
        <w:pStyle w:val="ListParagraph"/>
        <w:numPr>
          <w:ilvl w:val="0"/>
          <w:numId w:val="1"/>
        </w:numPr>
        <w:spacing w:after="60" w:before="60"/>
        <w:ind w:left="720"/>
      </w:pPr>
      <w:r>
        <w:rPr>
          <w:b w:val="false"/>
          <w:bCs w:val="false"/>
          <w:color w:val="2D2D2D"/>
          <w:sz w:val="22"/>
          <w:szCs w:val="22"/>
        </w:rPr>
        <w:t xml:space="preserve">Demographic segmentation by gender, age, race and province</w:t>
      </w:r>
    </w:p>
    <w:p>
      <w:pPr>
        <w:pStyle w:val="ListParagraph"/>
        <w:numPr>
          <w:ilvl w:val="0"/>
          <w:numId w:val="1"/>
        </w:numPr>
        <w:spacing w:after="60" w:before="60"/>
        <w:ind w:left="720"/>
      </w:pPr>
      <w:r>
        <w:rPr>
          <w:b w:val="false"/>
          <w:bCs w:val="false"/>
          <w:color w:val="2D2D2D"/>
          <w:sz w:val="22"/>
          <w:szCs w:val="22"/>
        </w:rPr>
        <w:t xml:space="preserve">Time series analysis: hourly, daily, weekly and monthly trends</w:t>
      </w:r>
    </w:p>
    <w:p>
      <w:pPr>
        <w:pStyle w:val="ListParagraph"/>
        <w:numPr>
          <w:ilvl w:val="0"/>
          <w:numId w:val="1"/>
        </w:numPr>
        <w:spacing w:after="60" w:before="60"/>
        <w:ind w:left="720"/>
      </w:pPr>
      <w:r>
        <w:rPr>
          <w:b w:val="false"/>
          <w:bCs w:val="false"/>
          <w:color w:val="2D2D2D"/>
          <w:sz w:val="22"/>
          <w:szCs w:val="22"/>
        </w:rPr>
        <w:t xml:space="preserve">Content performance analysis: channel rankings and consumption patterns</w:t>
      </w:r>
    </w:p>
    <w:p>
      <w:pPr>
        <w:pStyle w:val="ListParagraph"/>
        <w:numPr>
          <w:ilvl w:val="0"/>
          <w:numId w:val="1"/>
        </w:numPr>
        <w:spacing w:after="60" w:before="60"/>
        <w:ind w:left="720"/>
      </w:pPr>
      <w:r>
        <w:rPr>
          <w:b w:val="false"/>
          <w:bCs w:val="false"/>
          <w:color w:val="2D2D2D"/>
          <w:sz w:val="22"/>
          <w:szCs w:val="22"/>
        </w:rPr>
        <w:t xml:space="preserve">Low consumption period identification and pattern analysis</w:t>
      </w:r>
    </w:p>
    <w:p>
      <w:pPr>
        <w:pStyle w:val="ListParagraph"/>
        <w:numPr>
          <w:ilvl w:val="0"/>
          <w:numId w:val="1"/>
        </w:numPr>
        <w:spacing w:after="60" w:before="60"/>
        <w:ind w:left="720"/>
      </w:pPr>
      <w:r>
        <w:rPr>
          <w:b w:val="false"/>
          <w:bCs w:val="false"/>
          <w:color w:val="2D2D2D"/>
          <w:sz w:val="22"/>
          <w:szCs w:val="22"/>
        </w:rPr>
        <w:t xml:space="preserve">Cross-dimensional analysis: channel preference by age group and gender</w:t>
      </w:r>
    </w:p>
    <w:p>
      <w:pPr>
        <w:pStyle w:val="ListParagraph"/>
        <w:numPr>
          <w:ilvl w:val="0"/>
          <w:numId w:val="1"/>
        </w:numPr>
        <w:spacing w:after="60" w:before="60"/>
        <w:ind w:left="720"/>
      </w:pPr>
      <w:r>
        <w:rPr>
          <w:b w:val="false"/>
          <w:bCs w:val="false"/>
          <w:color w:val="2D2D2D"/>
          <w:sz w:val="22"/>
          <w:szCs w:val="22"/>
        </w:rPr>
        <w:t xml:space="preserve">KPI definition and measurement</w:t>
      </w:r>
    </w:p>
    <w:p>
      <w:pPr>
        <w:spacing w:after="100" w:before="100"/>
      </w:pPr>
    </w:p>
    <w:p>
      <w:pPr>
        <w:pStyle w:val="Heading3"/>
        <w:spacing w:after="100" w:before="200"/>
        <w:rPr>
          <w:b/>
          <w:bCs/>
          <w:color w:val="F2994A"/>
          <w:sz w:val="22"/>
          <w:szCs w:val="22"/>
        </w:rPr>
      </w:pPr>
      <w:r>
        <w:t xml:space="preserve">Data Visualisation</w:t>
      </w:r>
    </w:p>
    <w:p>
      <w:pPr>
        <w:pStyle w:val="ListParagraph"/>
        <w:numPr>
          <w:ilvl w:val="0"/>
          <w:numId w:val="1"/>
        </w:numPr>
        <w:spacing w:after="60" w:before="60"/>
        <w:ind w:left="720"/>
      </w:pPr>
      <w:r>
        <w:rPr>
          <w:b w:val="false"/>
          <w:bCs w:val="false"/>
          <w:color w:val="2D2D2D"/>
          <w:sz w:val="22"/>
          <w:szCs w:val="22"/>
        </w:rPr>
        <w:t xml:space="preserve">Multi-page interactive dashboard design in Databricks</w:t>
      </w:r>
    </w:p>
    <w:p>
      <w:pPr>
        <w:pStyle w:val="ListParagraph"/>
        <w:numPr>
          <w:ilvl w:val="0"/>
          <w:numId w:val="1"/>
        </w:numPr>
        <w:spacing w:after="60" w:before="60"/>
        <w:ind w:left="720"/>
      </w:pPr>
      <w:r>
        <w:rPr>
          <w:b w:val="false"/>
          <w:bCs w:val="false"/>
          <w:color w:val="2D2D2D"/>
          <w:sz w:val="22"/>
          <w:szCs w:val="22"/>
        </w:rPr>
        <w:t xml:space="preserve">Appropriate chart type selection: KPI cards, donut charts, bar charts, line charts</w:t>
      </w:r>
    </w:p>
    <w:p>
      <w:pPr>
        <w:pStyle w:val="ListParagraph"/>
        <w:numPr>
          <w:ilvl w:val="0"/>
          <w:numId w:val="1"/>
        </w:numPr>
        <w:spacing w:after="60" w:before="60"/>
        <w:ind w:left="720"/>
      </w:pPr>
      <w:r>
        <w:rPr>
          <w:b w:val="false"/>
          <w:bCs w:val="false"/>
          <w:color w:val="2D2D2D"/>
          <w:sz w:val="22"/>
          <w:szCs w:val="22"/>
        </w:rPr>
        <w:t xml:space="preserve">Consistent color system and branding across all dashboard pages</w:t>
      </w:r>
    </w:p>
    <w:p>
      <w:pPr>
        <w:pStyle w:val="ListParagraph"/>
        <w:numPr>
          <w:ilvl w:val="0"/>
          <w:numId w:val="1"/>
        </w:numPr>
        <w:spacing w:after="60" w:before="60"/>
        <w:ind w:left="720"/>
      </w:pPr>
      <w:r>
        <w:rPr>
          <w:b w:val="false"/>
          <w:bCs w:val="false"/>
          <w:color w:val="2D2D2D"/>
          <w:sz w:val="22"/>
          <w:szCs w:val="22"/>
        </w:rPr>
        <w:t xml:space="preserve">Interactive slicer and filter implementation</w:t>
      </w:r>
    </w:p>
    <w:p>
      <w:pPr>
        <w:pStyle w:val="ListParagraph"/>
        <w:numPr>
          <w:ilvl w:val="0"/>
          <w:numId w:val="1"/>
        </w:numPr>
        <w:spacing w:after="60" w:before="60"/>
        <w:ind w:left="720"/>
      </w:pPr>
      <w:r>
        <w:rPr>
          <w:b w:val="false"/>
          <w:bCs w:val="false"/>
          <w:color w:val="2D2D2D"/>
          <w:sz w:val="22"/>
          <w:szCs w:val="22"/>
        </w:rPr>
        <w:t xml:space="preserve">Visual hierarchy and layout design for executive audience</w:t>
      </w:r>
    </w:p>
    <w:p>
      <w:pPr>
        <w:spacing w:after="100" w:before="100"/>
      </w:pPr>
    </w:p>
    <w:p>
      <w:pPr>
        <w:pStyle w:val="Heading3"/>
        <w:spacing w:after="100" w:before="200"/>
        <w:rPr>
          <w:b/>
          <w:bCs/>
          <w:color w:val="F2994A"/>
          <w:sz w:val="22"/>
          <w:szCs w:val="22"/>
        </w:rPr>
      </w:pPr>
      <w:r>
        <w:t xml:space="preserve">Analytical Concepts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6B" w:val="clear"/>
            <w:tcMar>
              <w:top w:type="dxa" w:w="80"/>
              <w:left w:type="dxa" w:w="100"/>
              <w:bottom w:type="dxa" w:w="80"/>
              <w:right w:type="dxa" w:w="100"/>
            </w:tcMar>
          </w:tcPr>
          <w:p>
            <w:pPr>
              <w:jc w:val="center"/>
            </w:pPr>
            <w:r>
              <w:rPr>
                <w:b/>
                <w:bCs/>
                <w:color w:val="FFFFFF"/>
                <w:sz w:val="20"/>
                <w:szCs w:val="20"/>
              </w:rPr>
              <w:t xml:space="preserve">Concept</w:t>
            </w:r>
          </w:p>
        </w:tc>
        <w:tc>
          <w:tcPr>
            <w:tcW w:type="dxa" w:w="4500"/>
            <w:shd w:fill="1B3A6B" w:val="clear"/>
            <w:tcMar>
              <w:top w:type="dxa" w:w="80"/>
              <w:left w:type="dxa" w:w="100"/>
              <w:bottom w:type="dxa" w:w="80"/>
              <w:right w:type="dxa" w:w="100"/>
            </w:tcMar>
          </w:tcPr>
          <w:p>
            <w:pPr>
              <w:jc w:val="center"/>
            </w:pPr>
            <w:r>
              <w:rPr>
                <w:b/>
                <w:bCs/>
                <w:color w:val="FFFFFF"/>
                <w:sz w:val="20"/>
                <w:szCs w:val="20"/>
              </w:rPr>
              <w:t xml:space="preserve">Application</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Fact vs Dimension table design</w:t>
            </w:r>
          </w:p>
        </w:tc>
        <w:tc>
          <w:tcPr>
            <w:tcW w:type="dxa" w:w="4500"/>
            <w:shd w:fill="F2F2F2" w:val="clear"/>
            <w:tcMar>
              <w:top w:type="dxa" w:w="60"/>
              <w:left w:type="dxa" w:w="100"/>
              <w:bottom w:type="dxa" w:w="60"/>
              <w:right w:type="dxa" w:w="100"/>
            </w:tcMar>
          </w:tcPr>
          <w:p>
            <w:pPr>
              <w:jc w:val="left"/>
            </w:pPr>
            <w:r>
              <w:rPr>
                <w:color w:val="2D2D2D"/>
                <w:sz w:val="20"/>
                <w:szCs w:val="20"/>
              </w:rPr>
              <w:t xml:space="preserve">Viewership = fact, User Profile = dimension</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Star schema thinking</w:t>
            </w:r>
          </w:p>
        </w:tc>
        <w:tc>
          <w:tcPr>
            <w:tcW w:type="dxa" w:w="4500"/>
            <w:shd w:fill="FFFFFF" w:val="clear"/>
            <w:tcMar>
              <w:top w:type="dxa" w:w="60"/>
              <w:left w:type="dxa" w:w="100"/>
              <w:bottom w:type="dxa" w:w="60"/>
              <w:right w:type="dxa" w:w="100"/>
            </w:tcMar>
          </w:tcPr>
          <w:p>
            <w:pPr>
              <w:jc w:val="left"/>
            </w:pPr>
            <w:r>
              <w:rPr>
                <w:color w:val="2D2D2D"/>
                <w:sz w:val="20"/>
                <w:szCs w:val="20"/>
              </w:rPr>
              <w:t xml:space="preserve">Master view joining fact to dimension</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Soft delete strategy</w:t>
            </w:r>
          </w:p>
        </w:tc>
        <w:tc>
          <w:tcPr>
            <w:tcW w:type="dxa" w:w="4500"/>
            <w:shd w:fill="F2F2F2" w:val="clear"/>
            <w:tcMar>
              <w:top w:type="dxa" w:w="60"/>
              <w:left w:type="dxa" w:w="100"/>
              <w:bottom w:type="dxa" w:w="60"/>
              <w:right w:type="dxa" w:w="100"/>
            </w:tcMar>
          </w:tcPr>
          <w:p>
            <w:pPr>
              <w:jc w:val="left"/>
            </w:pPr>
            <w:r>
              <w:rPr>
                <w:color w:val="2D2D2D"/>
                <w:sz w:val="20"/>
                <w:szCs w:val="20"/>
              </w:rPr>
              <w:t xml:space="preserve">Ghost profiles retained for consumption, excluded from demographics</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UTC timezone conversion</w:t>
            </w:r>
          </w:p>
        </w:tc>
        <w:tc>
          <w:tcPr>
            <w:tcW w:type="dxa" w:w="4500"/>
            <w:shd w:fill="FFFFFF" w:val="clear"/>
            <w:tcMar>
              <w:top w:type="dxa" w:w="60"/>
              <w:left w:type="dxa" w:w="100"/>
              <w:bottom w:type="dxa" w:w="60"/>
              <w:right w:type="dxa" w:w="100"/>
            </w:tcMar>
          </w:tcPr>
          <w:p>
            <w:pPr>
              <w:jc w:val="left"/>
            </w:pPr>
            <w:r>
              <w:rPr>
                <w:color w:val="2D2D2D"/>
                <w:sz w:val="20"/>
                <w:szCs w:val="20"/>
              </w:rPr>
              <w:t xml:space="preserve">RecordDate converted from UTC to SA Standard Time (UTC+2)</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ETL principles</w:t>
            </w:r>
          </w:p>
        </w:tc>
        <w:tc>
          <w:tcPr>
            <w:tcW w:type="dxa" w:w="4500"/>
            <w:shd w:fill="F2F2F2" w:val="clear"/>
            <w:tcMar>
              <w:top w:type="dxa" w:w="60"/>
              <w:left w:type="dxa" w:w="100"/>
              <w:bottom w:type="dxa" w:w="60"/>
              <w:right w:type="dxa" w:w="100"/>
            </w:tcMar>
          </w:tcPr>
          <w:p>
            <w:pPr>
              <w:jc w:val="left"/>
            </w:pPr>
            <w:r>
              <w:rPr>
                <w:color w:val="2D2D2D"/>
                <w:sz w:val="20"/>
                <w:szCs w:val="20"/>
              </w:rPr>
              <w:t xml:space="preserve">Extract from Excel, Transform in Databricks SQL, Load to dashboard</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CVM strategy</w:t>
            </w:r>
          </w:p>
        </w:tc>
        <w:tc>
          <w:tcPr>
            <w:tcW w:type="dxa" w:w="4500"/>
            <w:shd w:fill="FFFFFF" w:val="clear"/>
            <w:tcMar>
              <w:top w:type="dxa" w:w="60"/>
              <w:left w:type="dxa" w:w="100"/>
              <w:bottom w:type="dxa" w:w="60"/>
              <w:right w:type="dxa" w:w="100"/>
            </w:tcMar>
          </w:tcPr>
          <w:p>
            <w:pPr>
              <w:jc w:val="left"/>
            </w:pPr>
            <w:r>
              <w:rPr>
                <w:color w:val="2D2D2D"/>
                <w:sz w:val="20"/>
                <w:szCs w:val="20"/>
              </w:rPr>
              <w:t xml:space="preserve">Subscriber segmentation and targeted growth initiatives</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Lead-in/Lead-out programming</w:t>
            </w:r>
          </w:p>
        </w:tc>
        <w:tc>
          <w:tcPr>
            <w:tcW w:type="dxa" w:w="4500"/>
            <w:shd w:fill="F2F2F2" w:val="clear"/>
            <w:tcMar>
              <w:top w:type="dxa" w:w="60"/>
              <w:left w:type="dxa" w:w="100"/>
              <w:bottom w:type="dxa" w:w="60"/>
              <w:right w:type="dxa" w:w="100"/>
            </w:tcMar>
          </w:tcPr>
          <w:p>
            <w:pPr>
              <w:jc w:val="left"/>
            </w:pPr>
            <w:r>
              <w:rPr>
                <w:color w:val="2D2D2D"/>
                <w:sz w:val="20"/>
                <w:szCs w:val="20"/>
              </w:rPr>
              <w:t xml:space="preserve">Scheduling strategy for low consumption days</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Monday blues effect</w:t>
            </w:r>
          </w:p>
        </w:tc>
        <w:tc>
          <w:tcPr>
            <w:tcW w:type="dxa" w:w="4500"/>
            <w:shd w:fill="FFFFFF" w:val="clear"/>
            <w:tcMar>
              <w:top w:type="dxa" w:w="60"/>
              <w:left w:type="dxa" w:w="100"/>
              <w:bottom w:type="dxa" w:w="60"/>
              <w:right w:type="dxa" w:w="100"/>
            </w:tcMar>
          </w:tcPr>
          <w:p>
            <w:pPr>
              <w:jc w:val="left"/>
            </w:pPr>
            <w:r>
              <w:rPr>
                <w:color w:val="2D2D2D"/>
                <w:sz w:val="20"/>
                <w:szCs w:val="20"/>
              </w:rPr>
              <w:t xml:space="preserve">Explaining consistent Monday/Tuesday viewership drops</w:t>
            </w:r>
          </w:p>
        </w:tc>
      </w:tr>
      <w:tr>
        <w:tc>
          <w:tcPr>
            <w:tcW w:type="dxa" w:w="4500"/>
            <w:shd w:fill="F2F2F2" w:val="clear"/>
            <w:tcMar>
              <w:top w:type="dxa" w:w="60"/>
              <w:left w:type="dxa" w:w="100"/>
              <w:bottom w:type="dxa" w:w="60"/>
              <w:right w:type="dxa" w:w="100"/>
            </w:tcMar>
          </w:tcPr>
          <w:p>
            <w:pPr>
              <w:jc w:val="left"/>
            </w:pPr>
            <w:r>
              <w:rPr>
                <w:color w:val="2D2D2D"/>
                <w:sz w:val="20"/>
                <w:szCs w:val="20"/>
              </w:rPr>
              <w:t xml:space="preserve">Content concentration risk</w:t>
            </w:r>
          </w:p>
        </w:tc>
        <w:tc>
          <w:tcPr>
            <w:tcW w:type="dxa" w:w="4500"/>
            <w:shd w:fill="F2F2F2" w:val="clear"/>
            <w:tcMar>
              <w:top w:type="dxa" w:w="60"/>
              <w:left w:type="dxa" w:w="100"/>
              <w:bottom w:type="dxa" w:w="60"/>
              <w:right w:type="dxa" w:w="100"/>
            </w:tcMar>
          </w:tcPr>
          <w:p>
            <w:pPr>
              <w:jc w:val="left"/>
            </w:pPr>
            <w:r>
              <w:rPr>
                <w:color w:val="2D2D2D"/>
                <w:sz w:val="20"/>
                <w:szCs w:val="20"/>
              </w:rPr>
              <w:t xml:space="preserve">Identifying overreliance on ICC Cricket World Cup 2011</w:t>
            </w:r>
          </w:p>
        </w:tc>
      </w:tr>
      <w:tr>
        <w:tc>
          <w:tcPr>
            <w:tcW w:type="dxa" w:w="4500"/>
            <w:shd w:fill="FFFFFF" w:val="clear"/>
            <w:tcMar>
              <w:top w:type="dxa" w:w="60"/>
              <w:left w:type="dxa" w:w="100"/>
              <w:bottom w:type="dxa" w:w="60"/>
              <w:right w:type="dxa" w:w="100"/>
            </w:tcMar>
          </w:tcPr>
          <w:p>
            <w:pPr>
              <w:jc w:val="left"/>
            </w:pPr>
            <w:r>
              <w:rPr>
                <w:color w:val="2D2D2D"/>
                <w:sz w:val="20"/>
                <w:szCs w:val="20"/>
              </w:rPr>
              <w:t xml:space="preserve">Data storytelling</w:t>
            </w:r>
          </w:p>
        </w:tc>
        <w:tc>
          <w:tcPr>
            <w:tcW w:type="dxa" w:w="4500"/>
            <w:shd w:fill="FFFFFF" w:val="clear"/>
            <w:tcMar>
              <w:top w:type="dxa" w:w="60"/>
              <w:left w:type="dxa" w:w="100"/>
              <w:bottom w:type="dxa" w:w="60"/>
              <w:right w:type="dxa" w:w="100"/>
            </w:tcMar>
          </w:tcPr>
          <w:p>
            <w:pPr>
              <w:jc w:val="left"/>
            </w:pPr>
            <w:r>
              <w:rPr>
                <w:color w:val="2D2D2D"/>
                <w:sz w:val="20"/>
                <w:szCs w:val="20"/>
              </w:rPr>
              <w:t xml:space="preserve">Themed dashboard pages: Who, When, What</w:t>
            </w:r>
          </w:p>
        </w:tc>
      </w:tr>
    </w:tbl>
    <w:p>
      <w:pPr>
        <w:spacing w:after="100" w:before="100"/>
      </w:pPr>
    </w:p>
    <w:p>
      <w:pPr>
        <w:pStyle w:val="Heading2"/>
        <w:spacing w:after="150" w:before="300"/>
        <w:rPr>
          <w:b/>
          <w:bCs/>
          <w:color w:val="1B3A6B"/>
          <w:sz w:val="24"/>
          <w:szCs w:val="24"/>
        </w:rPr>
      </w:pPr>
      <w:r>
        <w:t xml:space="preserve">Key Learnings</w:t>
      </w:r>
    </w:p>
    <w:p>
      <w:pPr>
        <w:pStyle w:val="ListParagraph"/>
        <w:numPr>
          <w:ilvl w:val="0"/>
          <w:numId w:val="1"/>
        </w:numPr>
        <w:spacing w:after="60" w:before="60"/>
        <w:ind w:left="720"/>
      </w:pPr>
      <w:r>
        <w:rPr>
          <w:b w:val="false"/>
          <w:bCs w:val="false"/>
          <w:color w:val="2D2D2D"/>
          <w:sz w:val="22"/>
          <w:szCs w:val="22"/>
        </w:rPr>
        <w:t xml:space="preserve">A CTE cannot be reused across multiple queries — a permanent database view is the professional solution in a team environment</w:t>
      </w:r>
    </w:p>
    <w:p>
      <w:pPr>
        <w:pStyle w:val="ListParagraph"/>
        <w:numPr>
          <w:ilvl w:val="0"/>
          <w:numId w:val="1"/>
        </w:numPr>
        <w:spacing w:after="60" w:before="60"/>
        <w:ind w:left="720"/>
      </w:pPr>
      <w:r>
        <w:rPr>
          <w:b w:val="false"/>
          <w:bCs w:val="false"/>
          <w:color w:val="2D2D2D"/>
          <w:sz w:val="22"/>
          <w:szCs w:val="22"/>
        </w:rPr>
        <w:t xml:space="preserve">Ghost profiles should never be deleted entirely — their consumption data represents real viewing behaviour even without complete demographic information</w:t>
      </w:r>
    </w:p>
    <w:p>
      <w:pPr>
        <w:pStyle w:val="ListParagraph"/>
        <w:numPr>
          <w:ilvl w:val="0"/>
          <w:numId w:val="1"/>
        </w:numPr>
        <w:spacing w:after="60" w:before="60"/>
        <w:ind w:left="720"/>
      </w:pPr>
      <w:r>
        <w:rPr>
          <w:b w:val="false"/>
          <w:bCs w:val="false"/>
          <w:color w:val="2D2D2D"/>
          <w:sz w:val="22"/>
          <w:szCs w:val="22"/>
        </w:rPr>
        <w:t xml:space="preserve">Data quality issues must be identified and resolved during the exploration phase before any analysis begins</w:t>
      </w:r>
    </w:p>
    <w:p>
      <w:pPr>
        <w:pStyle w:val="ListParagraph"/>
        <w:numPr>
          <w:ilvl w:val="0"/>
          <w:numId w:val="1"/>
        </w:numPr>
        <w:spacing w:after="60" w:before="60"/>
        <w:ind w:left="720"/>
      </w:pPr>
      <w:r>
        <w:rPr>
          <w:b w:val="false"/>
          <w:bCs w:val="false"/>
          <w:color w:val="2D2D2D"/>
          <w:sz w:val="22"/>
          <w:szCs w:val="22"/>
        </w:rPr>
        <w:t xml:space="preserve">Content overreliance on a single title creates significant business risk — diversification is critical for sustainable viewership</w:t>
      </w:r>
    </w:p>
    <w:p>
      <w:pPr>
        <w:pStyle w:val="ListParagraph"/>
        <w:numPr>
          <w:ilvl w:val="0"/>
          <w:numId w:val="1"/>
        </w:numPr>
        <w:spacing w:after="60" w:before="60"/>
        <w:ind w:left="720"/>
      </w:pPr>
      <w:r>
        <w:rPr>
          <w:b w:val="false"/>
          <w:bCs w:val="false"/>
          <w:color w:val="2D2D2D"/>
          <w:sz w:val="22"/>
          <w:szCs w:val="22"/>
        </w:rPr>
        <w:t xml:space="preserve">Dashboard design should tell a story — theming pages around Who, When and What makes complex data accessible to a non-technical executive audience</w:t>
      </w:r>
    </w:p>
    <w:p>
      <w:pPr>
        <w:pStyle w:val="ListParagraph"/>
        <w:numPr>
          <w:ilvl w:val="0"/>
          <w:numId w:val="1"/>
        </w:numPr>
        <w:spacing w:after="60" w:before="60"/>
        <w:ind w:left="720"/>
      </w:pPr>
      <w:r>
        <w:rPr>
          <w:b w:val="false"/>
          <w:bCs w:val="false"/>
          <w:color w:val="2D2D2D"/>
          <w:sz w:val="22"/>
          <w:szCs w:val="22"/>
        </w:rPr>
        <w:t xml:space="preserve">Always challenge whether data supports a business decision before making recommendations — findings must be evidence-based</w:t>
      </w:r>
    </w:p>
    <w:p>
      <w:pPr>
        <w:spacing w:after="100" w:before="100"/>
      </w:pPr>
    </w:p>
    <w:p>
      <w:pPr>
        <w:spacing w:before="400"/>
        <w:jc w:val="center"/>
      </w:pPr>
      <w:r>
        <w:rPr>
          <w:b/>
          <w:bCs/>
          <w:color w:val="F2994A"/>
          <w:sz w:val="20"/>
          <w:szCs w:val="20"/>
        </w:rPr>
        <w:t xml:space="preserve">End of Report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2026-07-08T02:24:31.779Z</dcterms:created>
  <dcterms:modified xsi:type="dcterms:W3CDTF">2026-07-08T02:24:31.793Z</dcterms:modified>
</cp:coreProperties>
</file>

<file path=docProps/custom.xml><?xml version="1.0" encoding="utf-8"?>
<Properties xmlns="http://schemas.openxmlformats.org/officeDocument/2006/custom-properties" xmlns:vt="http://schemas.openxmlformats.org/officeDocument/2006/docPropsVTypes"/>
</file>