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F05C" w14:textId="77777777" w:rsidR="006A1452" w:rsidRPr="00DF4EF3" w:rsidRDefault="00000000" w:rsidP="00851B48">
      <w:pPr>
        <w:pStyle w:val="Heading1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Investment Committee Memorandum</w:t>
      </w:r>
    </w:p>
    <w:p w14:paraId="7288E6D0" w14:textId="0A4DBA97" w:rsidR="006A1452" w:rsidRPr="00DF4EF3" w:rsidRDefault="00000000" w:rsidP="00851B48">
      <w:pPr>
        <w:pBdr>
          <w:bottom w:val="single" w:sz="6" w:space="2" w:color="1F4E79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Return Forecasting Model Comparison </w:t>
      </w:r>
      <w:r w:rsidR="00DF4EF3" w:rsidRPr="00DF4EF3">
        <w:rPr>
          <w:rFonts w:ascii="Times New Roman" w:hAnsi="Times New Roman" w:cs="Times New Roman"/>
          <w:i/>
          <w:iCs/>
          <w:color w:val="595959"/>
          <w:sz w:val="24"/>
          <w:szCs w:val="24"/>
        </w:rPr>
        <w:t>-</w:t>
      </w:r>
      <w:r w:rsidRPr="00DF4EF3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Target Corporation (TGT)</w:t>
      </w:r>
    </w:p>
    <w:p w14:paraId="090BC143" w14:textId="2CAFEF50" w:rsidR="006A1452" w:rsidRPr="00DF4EF3" w:rsidRDefault="00000000" w:rsidP="00851B48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>: Investment</w:t>
      </w:r>
      <w:r w:rsidRPr="00DF4EF3">
        <w:rPr>
          <w:rFonts w:ascii="Times New Roman" w:hAnsi="Times New Roman" w:cs="Times New Roman"/>
          <w:sz w:val="24"/>
          <w:szCs w:val="24"/>
        </w:rPr>
        <w:t xml:space="preserve"> Committee</w:t>
      </w:r>
    </w:p>
    <w:p w14:paraId="2301D905" w14:textId="1E2C9C1F" w:rsidR="006A1452" w:rsidRPr="00DF4EF3" w:rsidRDefault="00000000" w:rsidP="00851B48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From:  </w:t>
      </w:r>
      <w:r w:rsidRPr="00DF4EF3">
        <w:rPr>
          <w:rFonts w:ascii="Times New Roman" w:hAnsi="Times New Roman" w:cs="Times New Roman"/>
          <w:sz w:val="24"/>
          <w:szCs w:val="24"/>
        </w:rPr>
        <w:t xml:space="preserve">Team Hemisphere </w:t>
      </w:r>
    </w:p>
    <w:p w14:paraId="18EF58B4" w14:textId="5F891777" w:rsidR="006A1452" w:rsidRPr="00DF4EF3" w:rsidRDefault="00000000" w:rsidP="00851B48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 June 2026</w:t>
      </w:r>
    </w:p>
    <w:p w14:paraId="312ABA99" w14:textId="4C70806B" w:rsidR="006A1452" w:rsidRPr="00DF4EF3" w:rsidRDefault="00000000" w:rsidP="00851B4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>Subject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>: ARIMA</w:t>
      </w:r>
      <w:r w:rsidRPr="00DF4EF3">
        <w:rPr>
          <w:rFonts w:ascii="Times New Roman" w:hAnsi="Times New Roman" w:cs="Times New Roman"/>
          <w:sz w:val="24"/>
          <w:szCs w:val="24"/>
        </w:rPr>
        <w:t xml:space="preserve"> vs. LSTM forecasting of TGT daily stock returns</w:t>
      </w:r>
    </w:p>
    <w:p w14:paraId="4F4544D1" w14:textId="5CD1F0B6" w:rsidR="006A1452" w:rsidRPr="00DF4EF3" w:rsidRDefault="00000000" w:rsidP="00851B48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1</w:t>
      </w:r>
      <w:r w:rsidR="00851B48" w:rsidRPr="00DF4EF3">
        <w:rPr>
          <w:rFonts w:ascii="Times New Roman" w:hAnsi="Times New Roman" w:cs="Times New Roman"/>
          <w:sz w:val="24"/>
          <w:szCs w:val="24"/>
        </w:rPr>
        <w:t>. Executive</w:t>
      </w:r>
      <w:r w:rsidRPr="00DF4EF3">
        <w:rPr>
          <w:rFonts w:ascii="Times New Roman" w:hAnsi="Times New Roman" w:cs="Times New Roman"/>
          <w:sz w:val="24"/>
          <w:szCs w:val="24"/>
        </w:rPr>
        <w:t xml:space="preserve"> Summary</w:t>
      </w:r>
    </w:p>
    <w:p w14:paraId="2F6DD979" w14:textId="23968314" w:rsidR="006A1452" w:rsidRPr="00DF4EF3" w:rsidRDefault="00000000" w:rsidP="00851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 xml:space="preserve">We compared a classical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ARIMA</w:t>
      </w:r>
      <w:r w:rsidRPr="00DF4EF3">
        <w:rPr>
          <w:rFonts w:ascii="Times New Roman" w:hAnsi="Times New Roman" w:cs="Times New Roman"/>
          <w:sz w:val="24"/>
          <w:szCs w:val="24"/>
        </w:rPr>
        <w:t xml:space="preserve"> benchmark against a deep-learning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LSTM</w:t>
      </w:r>
      <w:r w:rsidRPr="00DF4EF3">
        <w:rPr>
          <w:rFonts w:ascii="Times New Roman" w:hAnsi="Times New Roman" w:cs="Times New Roman"/>
          <w:sz w:val="24"/>
          <w:szCs w:val="24"/>
        </w:rPr>
        <w:t xml:space="preserve"> network for forecasting Target Corporation’s (TGT) daily log returns over January 2020 to December 2024. Evaluated on the same untouched out-of-sample test window, the two models performed </w:t>
      </w:r>
      <w:r w:rsidRPr="00DF4EF3">
        <w:rPr>
          <w:rFonts w:ascii="Times New Roman" w:hAnsi="Times New Roman" w:cs="Times New Roman"/>
          <w:i/>
          <w:iCs/>
          <w:sz w:val="24"/>
          <w:szCs w:val="24"/>
        </w:rPr>
        <w:t>comparably</w:t>
      </w:r>
      <w:r w:rsidRPr="00DF4EF3">
        <w:rPr>
          <w:rFonts w:ascii="Times New Roman" w:hAnsi="Times New Roman" w:cs="Times New Roman"/>
          <w:sz w:val="24"/>
          <w:szCs w:val="24"/>
        </w:rPr>
        <w:t xml:space="preserve">, with a test RMSE of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0.0257</w:t>
      </w:r>
      <w:r w:rsidRPr="00DF4EF3">
        <w:rPr>
          <w:rFonts w:ascii="Times New Roman" w:hAnsi="Times New Roman" w:cs="Times New Roman"/>
          <w:sz w:val="24"/>
          <w:szCs w:val="24"/>
        </w:rPr>
        <w:t xml:space="preserve"> for ARIMA versus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0.0254</w:t>
      </w:r>
      <w:r w:rsidRPr="00DF4EF3">
        <w:rPr>
          <w:rFonts w:ascii="Times New Roman" w:hAnsi="Times New Roman" w:cs="Times New Roman"/>
          <w:sz w:val="24"/>
          <w:szCs w:val="24"/>
        </w:rPr>
        <w:t xml:space="preserve"> for LSTM. We recommend 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>ARIMA (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1,0,3)</w:t>
      </w:r>
      <w:r w:rsidRPr="00DF4EF3">
        <w:rPr>
          <w:rFonts w:ascii="Times New Roman" w:hAnsi="Times New Roman" w:cs="Times New Roman"/>
          <w:sz w:val="24"/>
          <w:szCs w:val="24"/>
        </w:rPr>
        <w:t xml:space="preserve"> as the working forecasting model: it matches the LSTM on accuracy and is clearly stronger at predicting direction, while remaining simpler, faster, and easier to explain and audit. Daily-return forecasts at this horizon are inherently noisy and should inform positioning, not drive it mechanically.</w:t>
      </w:r>
    </w:p>
    <w:p w14:paraId="243CBEBE" w14:textId="16851224" w:rsidR="006A1452" w:rsidRPr="00DF4EF3" w:rsidRDefault="00000000" w:rsidP="00851B48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2</w:t>
      </w:r>
      <w:r w:rsidR="00851B48" w:rsidRPr="00DF4EF3">
        <w:rPr>
          <w:rFonts w:ascii="Times New Roman" w:hAnsi="Times New Roman" w:cs="Times New Roman"/>
          <w:sz w:val="24"/>
          <w:szCs w:val="24"/>
        </w:rPr>
        <w:t>. Data</w:t>
      </w:r>
      <w:r w:rsidRPr="00DF4EF3">
        <w:rPr>
          <w:rFonts w:ascii="Times New Roman" w:hAnsi="Times New Roman" w:cs="Times New Roman"/>
          <w:sz w:val="24"/>
          <w:szCs w:val="24"/>
        </w:rPr>
        <w:t xml:space="preserve"> and Forecasting Setup</w:t>
      </w:r>
    </w:p>
    <w:p w14:paraId="496E32F3" w14:textId="77777777" w:rsidR="006A1452" w:rsidRPr="00DF4EF3" w:rsidRDefault="00000000" w:rsidP="00851B4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Source. </w:t>
      </w:r>
      <w:r w:rsidRPr="00DF4EF3">
        <w:rPr>
          <w:rFonts w:ascii="Times New Roman" w:hAnsi="Times New Roman" w:cs="Times New Roman"/>
          <w:sz w:val="24"/>
          <w:szCs w:val="24"/>
        </w:rPr>
        <w:t xml:space="preserve">Daily TGT prices were retrieved from Yahoo Finance via the </w:t>
      </w:r>
      <w:proofErr w:type="spellStart"/>
      <w:r w:rsidRPr="00DF4EF3">
        <w:rPr>
          <w:rFonts w:ascii="Times New Roman" w:hAnsi="Times New Roman" w:cs="Times New Roman"/>
          <w:i/>
          <w:iCs/>
          <w:sz w:val="24"/>
          <w:szCs w:val="24"/>
        </w:rPr>
        <w:t>yfinance</w:t>
      </w:r>
      <w:proofErr w:type="spellEnd"/>
      <w:r w:rsidRPr="00DF4EF3">
        <w:rPr>
          <w:rFonts w:ascii="Times New Roman" w:hAnsi="Times New Roman" w:cs="Times New Roman"/>
          <w:sz w:val="24"/>
          <w:szCs w:val="24"/>
        </w:rPr>
        <w:t xml:space="preserve"> library with split- and dividend-adjusted closing prices (auto-adjust enabled), reproducing the Project 2 data workflow.</w:t>
      </w:r>
    </w:p>
    <w:p w14:paraId="23A56966" w14:textId="77777777" w:rsidR="006A1452" w:rsidRPr="00DF4EF3" w:rsidRDefault="00000000" w:rsidP="00851B4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Period and field. </w:t>
      </w:r>
      <w:r w:rsidRPr="00DF4EF3">
        <w:rPr>
          <w:rFonts w:ascii="Times New Roman" w:hAnsi="Times New Roman" w:cs="Times New Roman"/>
          <w:sz w:val="24"/>
          <w:szCs w:val="24"/>
        </w:rPr>
        <w:t>03 Jan 2020 – 31 Dec 2024 (1,257 trading days), using the adjusted close as the price field.</w:t>
      </w:r>
    </w:p>
    <w:p w14:paraId="1BC92EB8" w14:textId="0EA9C532" w:rsidR="006A1452" w:rsidRPr="00DF4EF3" w:rsidRDefault="00000000" w:rsidP="00851B4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Return definition. </w:t>
      </w:r>
      <w:r w:rsidRPr="00DF4EF3">
        <w:rPr>
          <w:rFonts w:ascii="Times New Roman" w:hAnsi="Times New Roman" w:cs="Times New Roman"/>
          <w:sz w:val="24"/>
          <w:szCs w:val="24"/>
        </w:rPr>
        <w:t>Daily log return r</w:t>
      </w:r>
      <w:r w:rsidRPr="00DF4EF3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DF4EF3">
        <w:rPr>
          <w:rFonts w:ascii="Times New Roman" w:hAnsi="Times New Roman" w:cs="Times New Roman"/>
          <w:sz w:val="24"/>
          <w:szCs w:val="24"/>
        </w:rPr>
        <w:t xml:space="preserve"> = </w:t>
      </w:r>
      <w:r w:rsidR="00851B48" w:rsidRPr="00DF4EF3">
        <w:rPr>
          <w:rFonts w:ascii="Times New Roman" w:hAnsi="Times New Roman" w:cs="Times New Roman"/>
          <w:sz w:val="24"/>
          <w:szCs w:val="24"/>
        </w:rPr>
        <w:t>ln (</w:t>
      </w:r>
      <w:r w:rsidRPr="00DF4EF3">
        <w:rPr>
          <w:rFonts w:ascii="Times New Roman" w:hAnsi="Times New Roman" w:cs="Times New Roman"/>
          <w:sz w:val="24"/>
          <w:szCs w:val="24"/>
        </w:rPr>
        <w:t>P</w:t>
      </w:r>
      <w:r w:rsidRPr="00DF4EF3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DF4EF3">
        <w:rPr>
          <w:rFonts w:ascii="Times New Roman" w:hAnsi="Times New Roman" w:cs="Times New Roman"/>
          <w:sz w:val="24"/>
          <w:szCs w:val="24"/>
        </w:rPr>
        <w:t xml:space="preserve"> / P</w:t>
      </w:r>
      <w:r w:rsidRPr="00DF4EF3">
        <w:rPr>
          <w:rFonts w:ascii="Times New Roman" w:hAnsi="Times New Roman" w:cs="Times New Roman"/>
          <w:sz w:val="24"/>
          <w:szCs w:val="24"/>
          <w:vertAlign w:val="subscript"/>
        </w:rPr>
        <w:t>t−1</w:t>
      </w:r>
      <w:r w:rsidRPr="00DF4EF3">
        <w:rPr>
          <w:rFonts w:ascii="Times New Roman" w:hAnsi="Times New Roman" w:cs="Times New Roman"/>
          <w:sz w:val="24"/>
          <w:szCs w:val="24"/>
        </w:rPr>
        <w:t>), which is time-additive and approximately stationary.</w:t>
      </w:r>
    </w:p>
    <w:p w14:paraId="10121952" w14:textId="77777777" w:rsidR="006A1452" w:rsidRPr="00DF4EF3" w:rsidRDefault="00000000" w:rsidP="00851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b/>
          <w:bCs/>
          <w:sz w:val="24"/>
          <w:szCs w:val="24"/>
        </w:rPr>
        <w:t xml:space="preserve">Train / validation / test split. </w:t>
      </w:r>
      <w:r w:rsidRPr="00DF4EF3">
        <w:rPr>
          <w:rFonts w:ascii="Times New Roman" w:hAnsi="Times New Roman" w:cs="Times New Roman"/>
          <w:sz w:val="24"/>
          <w:szCs w:val="24"/>
        </w:rPr>
        <w:t xml:space="preserve">The series was split </w:t>
      </w:r>
      <w:r w:rsidRPr="00DF4EF3">
        <w:rPr>
          <w:rFonts w:ascii="Times New Roman" w:hAnsi="Times New Roman" w:cs="Times New Roman"/>
          <w:i/>
          <w:iCs/>
          <w:sz w:val="24"/>
          <w:szCs w:val="24"/>
        </w:rPr>
        <w:t>chronologically</w:t>
      </w:r>
      <w:r w:rsidRPr="00DF4EF3">
        <w:rPr>
          <w:rFonts w:ascii="Times New Roman" w:hAnsi="Times New Roman" w:cs="Times New Roman"/>
          <w:sz w:val="24"/>
          <w:szCs w:val="24"/>
        </w:rPr>
        <w:t xml:space="preserve"> into 879 training, 188 validation, and 190 test days with no shuffling and no leakage. The validation window was used for model selection; the test window was scored </w:t>
      </w:r>
      <w:r w:rsidRPr="00DF4EF3">
        <w:rPr>
          <w:rFonts w:ascii="Times New Roman" w:hAnsi="Times New Roman" w:cs="Times New Roman"/>
          <w:i/>
          <w:iCs/>
          <w:sz w:val="24"/>
          <w:szCs w:val="24"/>
        </w:rPr>
        <w:t>once</w:t>
      </w:r>
      <w:r w:rsidRPr="00DF4EF3">
        <w:rPr>
          <w:rFonts w:ascii="Times New Roman" w:hAnsi="Times New Roman" w:cs="Times New Roman"/>
          <w:sz w:val="24"/>
          <w:szCs w:val="24"/>
        </w:rPr>
        <w:t>, for the final comparison. An ADF test on the return series strongly rejected the unit-root null (statistic ≈ −36.4, p &lt; 0.001), confirming stationarity and supporting an integration order of d = 0.</w:t>
      </w:r>
    </w:p>
    <w:p w14:paraId="2162156A" w14:textId="7A353CD3" w:rsidR="006A1452" w:rsidRPr="00DF4EF3" w:rsidRDefault="00000000" w:rsidP="00851B48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3</w:t>
      </w:r>
      <w:r w:rsidR="00851B48" w:rsidRPr="00DF4EF3">
        <w:rPr>
          <w:rFonts w:ascii="Times New Roman" w:hAnsi="Times New Roman" w:cs="Times New Roman"/>
          <w:sz w:val="24"/>
          <w:szCs w:val="24"/>
        </w:rPr>
        <w:t>. ARIMA</w:t>
      </w:r>
      <w:r w:rsidRPr="00DF4EF3">
        <w:rPr>
          <w:rFonts w:ascii="Times New Roman" w:hAnsi="Times New Roman" w:cs="Times New Roman"/>
          <w:sz w:val="24"/>
          <w:szCs w:val="24"/>
        </w:rPr>
        <w:t xml:space="preserve"> vs. LSTM Results</w:t>
      </w:r>
    </w:p>
    <w:p w14:paraId="4ADC46F1" w14:textId="77777777" w:rsidR="006A1452" w:rsidRPr="00DF4EF3" w:rsidRDefault="00000000" w:rsidP="00851B4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All metrics below are computed on the identical out-of-sample test window so the comparison is like-for-like.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60"/>
        <w:gridCol w:w="1400"/>
        <w:gridCol w:w="1400"/>
        <w:gridCol w:w="2600"/>
      </w:tblGrid>
      <w:tr w:rsidR="006A1452" w:rsidRPr="00DF4EF3" w14:paraId="37C9A829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A77AB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DDF71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Forecast target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1E9DD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 MAE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587C5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 RMSE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66B27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Directional accuracy</w:t>
            </w:r>
          </w:p>
        </w:tc>
      </w:tr>
      <w:tr w:rsidR="006A1452" w:rsidRPr="00DF4EF3" w14:paraId="6269C12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50370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ARIMA(1,0,3)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1B1A9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Daily log return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96F4A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0.0145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F745A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0.0257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F6DF1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54.7%</w:t>
            </w:r>
          </w:p>
        </w:tc>
      </w:tr>
      <w:tr w:rsidR="006A1452" w:rsidRPr="00DF4EF3" w14:paraId="4FF88C7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469F6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LSTM (10→50→1)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1C5F4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Daily log return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3F556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0.0144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7B9F5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0.0254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5E46A" w14:textId="77777777" w:rsidR="006A1452" w:rsidRPr="00DF4EF3" w:rsidRDefault="00000000" w:rsidP="00851B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45.8%</w:t>
            </w:r>
          </w:p>
        </w:tc>
      </w:tr>
    </w:tbl>
    <w:p w14:paraId="0D30FEBB" w14:textId="77777777" w:rsidR="006A1452" w:rsidRPr="00DF4EF3" w:rsidRDefault="00000000" w:rsidP="00851B48">
      <w:pPr>
        <w:spacing w:before="140" w:after="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305BC8" wp14:editId="763DD6C7">
            <wp:extent cx="57150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1571" w14:textId="77777777" w:rsidR="006A1452" w:rsidRPr="00DF4EF3" w:rsidRDefault="00000000" w:rsidP="00851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i/>
          <w:iCs/>
          <w:color w:val="595959"/>
          <w:sz w:val="24"/>
          <w:szCs w:val="24"/>
        </w:rPr>
        <w:t>Figure 1. Actual vs. forecast TGT daily log returns over the test window.</w:t>
      </w:r>
    </w:p>
    <w:p w14:paraId="10A84ACC" w14:textId="184CA2FF" w:rsidR="006A1452" w:rsidRPr="00DF4EF3" w:rsidRDefault="00000000" w:rsidP="00851B48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4</w:t>
      </w:r>
      <w:r w:rsidR="00851B48" w:rsidRPr="00DF4EF3">
        <w:rPr>
          <w:rFonts w:ascii="Times New Roman" w:hAnsi="Times New Roman" w:cs="Times New Roman"/>
          <w:sz w:val="24"/>
          <w:szCs w:val="24"/>
        </w:rPr>
        <w:t>. Model</w:t>
      </w:r>
      <w:r w:rsidRPr="00DF4EF3">
        <w:rPr>
          <w:rFonts w:ascii="Times New Roman" w:hAnsi="Times New Roman" w:cs="Times New Roman"/>
          <w:sz w:val="24"/>
          <w:szCs w:val="24"/>
        </w:rPr>
        <w:t xml:space="preserve"> Selection and Interpretation</w:t>
      </w:r>
    </w:p>
    <w:p w14:paraId="234A372C" w14:textId="4528CBB9" w:rsidR="006A1452" w:rsidRPr="00DF4EF3" w:rsidRDefault="00000000" w:rsidP="00851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 xml:space="preserve">We use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test RMSE as the primary criterion</w:t>
      </w:r>
      <w:r w:rsidRPr="00DF4EF3">
        <w:rPr>
          <w:rFonts w:ascii="Times New Roman" w:hAnsi="Times New Roman" w:cs="Times New Roman"/>
          <w:sz w:val="24"/>
          <w:szCs w:val="24"/>
        </w:rPr>
        <w:t xml:space="preserve"> because it penalizes large forecast errors most heavily, with MAE as a stability check and directional accuracy as a secondary business signal. On these criteria the LSTM does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not materially improve</w:t>
      </w:r>
      <w:r w:rsidRPr="00DF4EF3">
        <w:rPr>
          <w:rFonts w:ascii="Times New Roman" w:hAnsi="Times New Roman" w:cs="Times New Roman"/>
          <w:sz w:val="24"/>
          <w:szCs w:val="24"/>
        </w:rPr>
        <w:t xml:space="preserve"> on the ARIMA benchmark: its test RMSE is lower by only about 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>1.2%</w:t>
      </w:r>
      <w:r w:rsidRPr="00DF4EF3">
        <w:rPr>
          <w:rFonts w:ascii="Times New Roman" w:hAnsi="Times New Roman" w:cs="Times New Roman"/>
          <w:sz w:val="24"/>
          <w:szCs w:val="24"/>
        </w:rPr>
        <w:t xml:space="preserve"> well within the noise and below the threshold we set for adopting a more complex model and its directional accuracy of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45.8%</w:t>
      </w:r>
      <w:r w:rsidRPr="00DF4EF3">
        <w:rPr>
          <w:rFonts w:ascii="Times New Roman" w:hAnsi="Times New Roman" w:cs="Times New Roman"/>
          <w:sz w:val="24"/>
          <w:szCs w:val="24"/>
        </w:rPr>
        <w:t xml:space="preserve"> is in fact </w:t>
      </w:r>
      <w:r w:rsidRPr="00DF4EF3">
        <w:rPr>
          <w:rFonts w:ascii="Times New Roman" w:hAnsi="Times New Roman" w:cs="Times New Roman"/>
          <w:i/>
          <w:iCs/>
          <w:sz w:val="24"/>
          <w:szCs w:val="24"/>
        </w:rPr>
        <w:t>lower</w:t>
      </w:r>
      <w:r w:rsidRPr="00DF4EF3">
        <w:rPr>
          <w:rFonts w:ascii="Times New Roman" w:hAnsi="Times New Roman" w:cs="Times New Roman"/>
          <w:sz w:val="24"/>
          <w:szCs w:val="24"/>
        </w:rPr>
        <w:t xml:space="preserve"> than ARIMA’s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54.7%</w:t>
      </w:r>
      <w:r w:rsidRPr="00DF4EF3">
        <w:rPr>
          <w:rFonts w:ascii="Times New Roman" w:hAnsi="Times New Roman" w:cs="Times New Roman"/>
          <w:sz w:val="24"/>
          <w:szCs w:val="24"/>
        </w:rPr>
        <w:t xml:space="preserve"> and below the 50% coin-flip line. This is the expected result: daily equity returns are close to white noise, so a parsimonious linear model captures essentially </w:t>
      </w:r>
      <w:r w:rsidR="00DF4EF3" w:rsidRPr="00DF4EF3">
        <w:rPr>
          <w:rFonts w:ascii="Times New Roman" w:hAnsi="Times New Roman" w:cs="Times New Roman"/>
          <w:sz w:val="24"/>
          <w:szCs w:val="24"/>
        </w:rPr>
        <w:t>all</w:t>
      </w:r>
      <w:r w:rsidRPr="00DF4EF3">
        <w:rPr>
          <w:rFonts w:ascii="Times New Roman" w:hAnsi="Times New Roman" w:cs="Times New Roman"/>
          <w:sz w:val="24"/>
          <w:szCs w:val="24"/>
        </w:rPr>
        <w:t xml:space="preserve"> the weak linear structure, and a higher-capacity LSTM tends to match rather than beat it out-of-sample while costing more time and transparency. We therefore select </w:t>
      </w:r>
      <w:r w:rsidR="00851B48" w:rsidRPr="00DF4EF3">
        <w:rPr>
          <w:rFonts w:ascii="Times New Roman" w:hAnsi="Times New Roman" w:cs="Times New Roman"/>
          <w:b/>
          <w:bCs/>
          <w:sz w:val="24"/>
          <w:szCs w:val="24"/>
        </w:rPr>
        <w:t>ARIMA (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1,0,3)</w:t>
      </w:r>
      <w:r w:rsidRPr="00DF4EF3">
        <w:rPr>
          <w:rFonts w:ascii="Times New Roman" w:hAnsi="Times New Roman" w:cs="Times New Roman"/>
          <w:sz w:val="24"/>
          <w:szCs w:val="24"/>
        </w:rPr>
        <w:t xml:space="preserve">, in line with the decision rule </w:t>
      </w:r>
      <w:r w:rsidR="00851B48" w:rsidRPr="00DF4EF3">
        <w:rPr>
          <w:rFonts w:ascii="Times New Roman" w:hAnsi="Times New Roman" w:cs="Times New Roman"/>
          <w:sz w:val="24"/>
          <w:szCs w:val="24"/>
        </w:rPr>
        <w:t>favoring</w:t>
      </w:r>
      <w:r w:rsidRPr="00DF4EF3">
        <w:rPr>
          <w:rFonts w:ascii="Times New Roman" w:hAnsi="Times New Roman" w:cs="Times New Roman"/>
          <w:sz w:val="24"/>
          <w:szCs w:val="24"/>
        </w:rPr>
        <w:t xml:space="preserve"> the simpler model when the complex model offers no clear, stable advantage.</w:t>
      </w:r>
    </w:p>
    <w:p w14:paraId="71335C43" w14:textId="75246DE1" w:rsidR="006A1452" w:rsidRPr="00DF4EF3" w:rsidRDefault="00000000" w:rsidP="00851B48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>5</w:t>
      </w:r>
      <w:r w:rsidR="00851B48" w:rsidRPr="00DF4EF3">
        <w:rPr>
          <w:rFonts w:ascii="Times New Roman" w:hAnsi="Times New Roman" w:cs="Times New Roman"/>
          <w:sz w:val="24"/>
          <w:szCs w:val="24"/>
        </w:rPr>
        <w:t>. Next</w:t>
      </w:r>
      <w:r w:rsidRPr="00DF4EF3">
        <w:rPr>
          <w:rFonts w:ascii="Times New Roman" w:hAnsi="Times New Roman" w:cs="Times New Roman"/>
          <w:sz w:val="24"/>
          <w:szCs w:val="24"/>
        </w:rPr>
        <w:t xml:space="preserve"> 30-Trading-Day Return Outlook and Caveats</w:t>
      </w:r>
    </w:p>
    <w:p w14:paraId="5A6768E7" w14:textId="54B2D80E" w:rsidR="006A1452" w:rsidRPr="00DF4EF3" w:rsidRDefault="00000000" w:rsidP="00851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4EF3">
        <w:rPr>
          <w:rFonts w:ascii="Times New Roman" w:hAnsi="Times New Roman" w:cs="Times New Roman"/>
          <w:sz w:val="24"/>
          <w:szCs w:val="24"/>
        </w:rPr>
        <w:t xml:space="preserve">Re-fit on the full sample, the selected </w:t>
      </w:r>
      <w:r w:rsidR="00851B48" w:rsidRPr="00DF4EF3">
        <w:rPr>
          <w:rFonts w:ascii="Times New Roman" w:hAnsi="Times New Roman" w:cs="Times New Roman"/>
          <w:sz w:val="24"/>
          <w:szCs w:val="24"/>
        </w:rPr>
        <w:t>ARIMA (</w:t>
      </w:r>
      <w:r w:rsidRPr="00DF4EF3">
        <w:rPr>
          <w:rFonts w:ascii="Times New Roman" w:hAnsi="Times New Roman" w:cs="Times New Roman"/>
          <w:sz w:val="24"/>
          <w:szCs w:val="24"/>
        </w:rPr>
        <w:t xml:space="preserve">1,0,3) model projects a cumulative log return of approximately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+0.0041</w:t>
      </w:r>
      <w:r w:rsidRPr="00DF4EF3">
        <w:rPr>
          <w:rFonts w:ascii="Times New Roman" w:hAnsi="Times New Roman" w:cs="Times New Roman"/>
          <w:sz w:val="24"/>
          <w:szCs w:val="24"/>
        </w:rPr>
        <w:t xml:space="preserve"> over the next 30 trading days (≈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+0.4%</w:t>
      </w:r>
      <w:r w:rsidRPr="00DF4EF3">
        <w:rPr>
          <w:rFonts w:ascii="Times New Roman" w:hAnsi="Times New Roman" w:cs="Times New Roman"/>
          <w:sz w:val="24"/>
          <w:szCs w:val="24"/>
        </w:rPr>
        <w:t xml:space="preserve"> implied price move), i.e. a </w:t>
      </w:r>
      <w:r w:rsidRPr="00DF4EF3">
        <w:rPr>
          <w:rFonts w:ascii="Times New Roman" w:hAnsi="Times New Roman" w:cs="Times New Roman"/>
          <w:b/>
          <w:bCs/>
          <w:sz w:val="24"/>
          <w:szCs w:val="24"/>
        </w:rPr>
        <w:t>mildly positive</w:t>
      </w:r>
      <w:r w:rsidRPr="00DF4EF3">
        <w:rPr>
          <w:rFonts w:ascii="Times New Roman" w:hAnsi="Times New Roman" w:cs="Times New Roman"/>
          <w:sz w:val="24"/>
          <w:szCs w:val="24"/>
        </w:rPr>
        <w:t xml:space="preserve"> central tendency that decays quickly toward the series mean. This figure should be read as a </w:t>
      </w:r>
      <w:r w:rsidR="00851B48" w:rsidRPr="00DF4EF3">
        <w:rPr>
          <w:rFonts w:ascii="Times New Roman" w:hAnsi="Times New Roman" w:cs="Times New Roman"/>
          <w:sz w:val="24"/>
          <w:szCs w:val="24"/>
        </w:rPr>
        <w:t>low confidence</w:t>
      </w:r>
      <w:r w:rsidRPr="00DF4EF3">
        <w:rPr>
          <w:rFonts w:ascii="Times New Roman" w:hAnsi="Times New Roman" w:cs="Times New Roman"/>
          <w:sz w:val="24"/>
          <w:szCs w:val="24"/>
        </w:rPr>
        <w:t xml:space="preserve"> point estimate surrounded by wide uncertainty. Return forecasts at the daily horizon are dominated by noise, are sensitive to single-day shocks (e.g., earnings), and are </w:t>
      </w:r>
      <w:r w:rsidRPr="00DF4EF3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00DF4EF3">
        <w:rPr>
          <w:rFonts w:ascii="Times New Roman" w:hAnsi="Times New Roman" w:cs="Times New Roman"/>
          <w:sz w:val="24"/>
          <w:szCs w:val="24"/>
        </w:rPr>
        <w:t xml:space="preserve"> standalone trading signals. The analysis is fully reproducible from the saved dataset, fixed random seeds, and the recorded package versions; results should be refreshed as new data arrives.</w:t>
      </w:r>
    </w:p>
    <w:sectPr w:rsidR="006A1452" w:rsidRPr="00DF4EF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03706"/>
    <w:multiLevelType w:val="hybridMultilevel"/>
    <w:tmpl w:val="BE9A97D8"/>
    <w:lvl w:ilvl="0" w:tplc="AC3ACAD6">
      <w:start w:val="1"/>
      <w:numFmt w:val="bullet"/>
      <w:lvlText w:val="●"/>
      <w:lvlJc w:val="left"/>
      <w:pPr>
        <w:ind w:left="720" w:hanging="360"/>
      </w:pPr>
    </w:lvl>
    <w:lvl w:ilvl="1" w:tplc="0BE6F3A0">
      <w:start w:val="1"/>
      <w:numFmt w:val="bullet"/>
      <w:lvlText w:val="○"/>
      <w:lvlJc w:val="left"/>
      <w:pPr>
        <w:ind w:left="1440" w:hanging="360"/>
      </w:pPr>
    </w:lvl>
    <w:lvl w:ilvl="2" w:tplc="E478892C">
      <w:start w:val="1"/>
      <w:numFmt w:val="bullet"/>
      <w:lvlText w:val="■"/>
      <w:lvlJc w:val="left"/>
      <w:pPr>
        <w:ind w:left="2160" w:hanging="360"/>
      </w:pPr>
    </w:lvl>
    <w:lvl w:ilvl="3" w:tplc="EE3C3306">
      <w:start w:val="1"/>
      <w:numFmt w:val="bullet"/>
      <w:lvlText w:val="●"/>
      <w:lvlJc w:val="left"/>
      <w:pPr>
        <w:ind w:left="2880" w:hanging="360"/>
      </w:pPr>
    </w:lvl>
    <w:lvl w:ilvl="4" w:tplc="E3C6D522">
      <w:start w:val="1"/>
      <w:numFmt w:val="bullet"/>
      <w:lvlText w:val="○"/>
      <w:lvlJc w:val="left"/>
      <w:pPr>
        <w:ind w:left="3600" w:hanging="360"/>
      </w:pPr>
    </w:lvl>
    <w:lvl w:ilvl="5" w:tplc="34260AA4">
      <w:start w:val="1"/>
      <w:numFmt w:val="bullet"/>
      <w:lvlText w:val="■"/>
      <w:lvlJc w:val="left"/>
      <w:pPr>
        <w:ind w:left="4320" w:hanging="360"/>
      </w:pPr>
    </w:lvl>
    <w:lvl w:ilvl="6" w:tplc="9F2A8496">
      <w:start w:val="1"/>
      <w:numFmt w:val="bullet"/>
      <w:lvlText w:val="●"/>
      <w:lvlJc w:val="left"/>
      <w:pPr>
        <w:ind w:left="5040" w:hanging="360"/>
      </w:pPr>
    </w:lvl>
    <w:lvl w:ilvl="7" w:tplc="F9A831A4">
      <w:start w:val="1"/>
      <w:numFmt w:val="bullet"/>
      <w:lvlText w:val="●"/>
      <w:lvlJc w:val="left"/>
      <w:pPr>
        <w:ind w:left="5760" w:hanging="360"/>
      </w:pPr>
    </w:lvl>
    <w:lvl w:ilvl="8" w:tplc="E07E05C4">
      <w:start w:val="1"/>
      <w:numFmt w:val="bullet"/>
      <w:lvlText w:val="●"/>
      <w:lvlJc w:val="left"/>
      <w:pPr>
        <w:ind w:left="6480" w:hanging="360"/>
      </w:pPr>
    </w:lvl>
  </w:abstractNum>
  <w:num w:numId="1" w16cid:durableId="179053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452"/>
    <w:rsid w:val="003C28A6"/>
    <w:rsid w:val="006A1452"/>
    <w:rsid w:val="00851B48"/>
    <w:rsid w:val="00DF4EF3"/>
    <w:rsid w:val="00E9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9CA8"/>
  <w15:docId w15:val="{3681328F-6F8A-42FB-8605-766ABFBC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Golam Rahat</cp:lastModifiedBy>
  <cp:revision>3</cp:revision>
  <dcterms:created xsi:type="dcterms:W3CDTF">2026-06-18T12:55:00Z</dcterms:created>
  <dcterms:modified xsi:type="dcterms:W3CDTF">2026-06-18T13:10:00Z</dcterms:modified>
</cp:coreProperties>
</file>