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37D5" w14:textId="3138976F" w:rsidR="00AB1E0C" w:rsidRPr="007E7432" w:rsidRDefault="0087562C" w:rsidP="00731113">
      <w:pPr>
        <w:rPr>
          <w:rFonts w:ascii="Aptos" w:eastAsia="微軟正黑體" w:hAnsi="Aptos" w:cs="Times New Roman"/>
          <w:b/>
          <w:bCs/>
          <w:color w:val="000000" w:themeColor="text1"/>
          <w:sz w:val="40"/>
          <w:szCs w:val="40"/>
          <w:lang w:eastAsia="zh-TW"/>
        </w:rPr>
      </w:pP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40"/>
          <w:szCs w:val="40"/>
          <w:lang w:eastAsia="zh-TW"/>
        </w:rPr>
        <w:t>T</w:t>
      </w:r>
      <w:r w:rsidRPr="007E7432">
        <w:rPr>
          <w:rFonts w:ascii="Aptos" w:eastAsia="微軟正黑體" w:hAnsi="Aptos" w:cs="Times New Roman"/>
          <w:b/>
          <w:bCs/>
          <w:color w:val="000000" w:themeColor="text1"/>
          <w:sz w:val="40"/>
          <w:szCs w:val="40"/>
          <w:lang w:eastAsia="zh-TW"/>
        </w:rPr>
        <w:t xml:space="preserve">opic: </w:t>
      </w: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40"/>
          <w:szCs w:val="40"/>
          <w:lang w:eastAsia="zh-TW"/>
        </w:rPr>
        <w:t>個人信用風險評估模型</w:t>
      </w:r>
    </w:p>
    <w:p w14:paraId="1947678E" w14:textId="77777777" w:rsidR="004C6C6C" w:rsidRPr="007E7432" w:rsidRDefault="0087562C" w:rsidP="004C6C6C">
      <w:pPr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 w:cs="Times New Roman" w:hint="eastAsia"/>
          <w:b/>
          <w:bCs/>
          <w:color w:val="000000" w:themeColor="text1"/>
          <w:sz w:val="24"/>
          <w:szCs w:val="24"/>
          <w:lang w:eastAsia="zh-TW"/>
        </w:rPr>
        <w:t>T</w:t>
      </w:r>
      <w:r w:rsidRPr="007E7432">
        <w:rPr>
          <w:rFonts w:ascii="Aptos" w:eastAsia="微軟正黑體" w:hAnsi="Aptos" w:cs="Times New Roman"/>
          <w:b/>
          <w:bCs/>
          <w:color w:val="000000" w:themeColor="text1"/>
          <w:sz w:val="24"/>
          <w:szCs w:val="24"/>
          <w:lang w:eastAsia="zh-TW"/>
        </w:rPr>
        <w:t>eam Name</w:t>
      </w:r>
      <w:r w:rsidR="00DE7B8C" w:rsidRPr="007E7432">
        <w:rPr>
          <w:rFonts w:ascii="Aptos" w:eastAsia="微軟正黑體" w:hAnsi="Aptos" w:cs="Times New Roman" w:hint="eastAsia"/>
          <w:b/>
          <w:bCs/>
          <w:color w:val="000000" w:themeColor="text1"/>
          <w:sz w:val="24"/>
          <w:szCs w:val="24"/>
          <w:lang w:eastAsia="zh-TW"/>
        </w:rPr>
        <w:t>:</w:t>
      </w:r>
      <w:r w:rsidR="00DE7B8C" w:rsidRPr="007E7432">
        <w:rPr>
          <w:rFonts w:ascii="Aptos" w:eastAsia="微軟正黑體" w:hAnsi="Aptos" w:cs="Times New Roman"/>
          <w:b/>
          <w:bCs/>
          <w:color w:val="000000" w:themeColor="text1"/>
          <w:sz w:val="24"/>
          <w:szCs w:val="24"/>
          <w:lang w:eastAsia="zh-TW"/>
        </w:rPr>
        <w:t xml:space="preserve"> </w:t>
      </w:r>
      <w:r w:rsidRPr="004727E1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>名字二選一</w:t>
      </w:r>
      <w:r w:rsidRPr="007E7432">
        <w:rPr>
          <w:rFonts w:ascii="Aptos" w:eastAsia="微軟正黑體" w:hAnsi="Aptos" w:cstheme="majorBidi"/>
          <w:color w:val="000000" w:themeColor="text1"/>
          <w:sz w:val="24"/>
          <w:szCs w:val="24"/>
          <w:lang w:eastAsia="zh-TW"/>
        </w:rPr>
        <w:br/>
      </w:r>
      <w:r w:rsidRPr="004727E1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Group Member:</w:t>
      </w:r>
      <w:r w:rsidRPr="007E7432">
        <w:rPr>
          <w:rFonts w:ascii="Aptos" w:eastAsia="微軟正黑體" w:hAnsi="Aptos" w:cstheme="majorBidi"/>
          <w:color w:val="000000" w:themeColor="text1"/>
          <w:sz w:val="24"/>
          <w:szCs w:val="24"/>
          <w:lang w:eastAsia="zh-TW"/>
        </w:rPr>
        <w:br/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-</w:t>
      </w:r>
      <w:r w:rsidRPr="007E7432">
        <w:rPr>
          <w:rFonts w:ascii="Aptos" w:eastAsia="微軟正黑體" w:hAnsi="Aptos" w:cstheme="majorBidi"/>
          <w:color w:val="000000" w:themeColor="text1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>黎亭君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(COM 113064555, Leader)</w:t>
      </w:r>
      <w:r w:rsidR="004C6C6C" w:rsidRPr="007E7432">
        <w:rPr>
          <w:rFonts w:ascii="Aptos" w:eastAsia="微軟正黑體" w:hAnsi="Aptos" w:cstheme="majorBidi" w:hint="eastAsia"/>
          <w:b/>
          <w:bCs/>
          <w:color w:val="000000" w:themeColor="text1"/>
          <w:sz w:val="24"/>
          <w:szCs w:val="24"/>
          <w:lang w:eastAsia="zh-TW"/>
        </w:rPr>
        <w:t>：</w:t>
      </w:r>
      <w:r w:rsidRPr="007E7432">
        <w:rPr>
          <w:rFonts w:ascii="Aptos" w:eastAsia="微軟正黑體" w:hAnsi="Aptos" w:hint="eastAsia"/>
          <w:sz w:val="24"/>
          <w:szCs w:val="24"/>
          <w:lang w:eastAsia="zh-TW"/>
        </w:rPr>
        <w:t>設計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 xml:space="preserve">Logistic </w:t>
      </w:r>
      <w:r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R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egression</w:t>
      </w:r>
      <w:r w:rsidRPr="007E7432">
        <w:rPr>
          <w:rFonts w:ascii="Aptos" w:eastAsia="微軟正黑體" w:hAnsi="Aptos"/>
          <w:sz w:val="24"/>
          <w:szCs w:val="24"/>
        </w:rPr>
        <w:t xml:space="preserve"> Model</w:t>
      </w:r>
      <w:r w:rsidRPr="007E7432">
        <w:rPr>
          <w:rFonts w:ascii="Aptos" w:eastAsia="微軟正黑體" w:hAnsi="Aptos" w:cs="Times New Roman"/>
          <w:color w:val="000000" w:themeColor="text1"/>
          <w:sz w:val="24"/>
          <w:szCs w:val="24"/>
          <w:lang w:eastAsia="zh-TW"/>
        </w:rPr>
        <w:br/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- </w:t>
      </w:r>
      <w:r w:rsidRPr="007E7432">
        <w:rPr>
          <w:rFonts w:ascii="Aptos" w:eastAsia="微軟正黑體" w:hAnsi="Aptos" w:cs="Times New Roman" w:hint="eastAsia"/>
          <w:b/>
          <w:bCs/>
          <w:sz w:val="24"/>
          <w:szCs w:val="24"/>
          <w:lang w:eastAsia="zh-TW"/>
        </w:rPr>
        <w:t>彭智崇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(COM 113064513, Member)</w:t>
      </w:r>
      <w:r w:rsidR="004C6C6C" w:rsidRPr="007E7432">
        <w:rPr>
          <w:rFonts w:ascii="Aptos" w:eastAsia="微軟正黑體" w:hAnsi="Aptos" w:cstheme="majorBidi" w:hint="eastAsia"/>
          <w:color w:val="000000" w:themeColor="text1"/>
          <w:sz w:val="24"/>
          <w:szCs w:val="24"/>
          <w:lang w:eastAsia="zh-TW"/>
        </w:rPr>
        <w:t>：</w:t>
      </w:r>
      <w:r w:rsidRPr="007E7432">
        <w:rPr>
          <w:rFonts w:ascii="Aptos" w:eastAsia="微軟正黑體" w:hAnsi="Aptos" w:hint="eastAsia"/>
          <w:sz w:val="24"/>
          <w:szCs w:val="24"/>
        </w:rPr>
        <w:t>資料前處理</w:t>
      </w:r>
      <w:r w:rsidRPr="007E7432">
        <w:rPr>
          <w:rFonts w:ascii="Aptos" w:eastAsia="微軟正黑體" w:hAnsi="Aptos" w:hint="eastAsia"/>
          <w:sz w:val="24"/>
          <w:szCs w:val="24"/>
          <w:lang w:eastAsia="zh-TW"/>
        </w:rPr>
        <w:t>、</w:t>
      </w:r>
      <w:r w:rsidRPr="007E7432">
        <w:rPr>
          <w:rFonts w:ascii="Aptos" w:eastAsia="微軟正黑體" w:hAnsi="Aptos" w:hint="eastAsia"/>
          <w:sz w:val="24"/>
          <w:szCs w:val="24"/>
        </w:rPr>
        <w:t>探索性資料分析</w:t>
      </w:r>
      <w:r w:rsidRPr="007E7432">
        <w:rPr>
          <w:rFonts w:ascii="Aptos" w:eastAsia="微軟正黑體" w:hAnsi="Aptos" w:cs="Times New Roman"/>
          <w:sz w:val="24"/>
          <w:szCs w:val="24"/>
        </w:rPr>
        <w:t>(Exploratory Data Analysis, EDA)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br/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- </w:t>
      </w:r>
      <w:r w:rsidRPr="007E7432">
        <w:rPr>
          <w:rFonts w:ascii="Aptos" w:eastAsia="微軟正黑體" w:hAnsi="Aptos" w:cs="Times New Roman" w:hint="eastAsia"/>
          <w:b/>
          <w:bCs/>
          <w:sz w:val="24"/>
          <w:szCs w:val="24"/>
          <w:lang w:eastAsia="zh-TW"/>
        </w:rPr>
        <w:t>劉緯承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(COM </w:t>
      </w:r>
      <w:r w:rsidRPr="007E7432">
        <w:rPr>
          <w:rFonts w:ascii="Aptos" w:eastAsia="微軟正黑體" w:hAnsi="Aptos" w:cs="Times New Roman"/>
          <w:b/>
          <w:bCs/>
          <w:sz w:val="24"/>
          <w:szCs w:val="24"/>
          <w:lang w:eastAsia="zh-TW"/>
        </w:rPr>
        <w:t>113064557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, Member)</w:t>
      </w:r>
      <w:r w:rsidR="004C6C6C" w:rsidRPr="007E7432">
        <w:rPr>
          <w:rFonts w:ascii="Aptos" w:eastAsia="微軟正黑體" w:hAnsi="Aptos" w:cstheme="majorBidi" w:hint="eastAsia"/>
          <w:color w:val="000000" w:themeColor="text1"/>
          <w:sz w:val="24"/>
          <w:szCs w:val="24"/>
          <w:lang w:eastAsia="zh-TW"/>
        </w:rPr>
        <w:t>：</w:t>
      </w:r>
      <w:r w:rsidRPr="007E7432">
        <w:rPr>
          <w:rFonts w:ascii="Aptos" w:eastAsia="微軟正黑體" w:hAnsi="Aptos" w:cstheme="majorBidi" w:hint="eastAsia"/>
          <w:color w:val="000000" w:themeColor="text1"/>
          <w:sz w:val="24"/>
          <w:szCs w:val="24"/>
          <w:lang w:eastAsia="zh-TW"/>
        </w:rPr>
        <w:t>設計</w:t>
      </w:r>
      <w:r w:rsidRPr="007E7432">
        <w:rPr>
          <w:rFonts w:ascii="Aptos" w:eastAsia="微軟正黑體" w:hAnsi="Aptos" w:cs="Times New Roman"/>
          <w:sz w:val="24"/>
          <w:szCs w:val="24"/>
        </w:rPr>
        <w:t xml:space="preserve">Random </w:t>
      </w:r>
      <w:r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F</w:t>
      </w:r>
      <w:r w:rsidRPr="007E7432">
        <w:rPr>
          <w:rFonts w:ascii="Aptos" w:eastAsia="微軟正黑體" w:hAnsi="Aptos" w:cs="Times New Roman"/>
          <w:sz w:val="24"/>
          <w:szCs w:val="24"/>
        </w:rPr>
        <w:t>orest</w:t>
      </w:r>
      <w:r w:rsidRPr="007E7432">
        <w:rPr>
          <w:rFonts w:ascii="Aptos" w:eastAsia="微軟正黑體" w:hAnsi="Aptos"/>
          <w:sz w:val="24"/>
          <w:szCs w:val="24"/>
        </w:rPr>
        <w:t xml:space="preserve"> Model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br/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- </w:t>
      </w:r>
      <w:r w:rsidRPr="007E7432">
        <w:rPr>
          <w:rFonts w:ascii="Aptos" w:eastAsia="微軟正黑體" w:hAnsi="Aptos" w:cs="Times New Roman" w:hint="eastAsia"/>
          <w:b/>
          <w:bCs/>
          <w:sz w:val="24"/>
          <w:szCs w:val="24"/>
          <w:lang w:eastAsia="zh-TW"/>
        </w:rPr>
        <w:t>賴人廣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 xml:space="preserve">(COM </w:t>
      </w:r>
      <w:r w:rsidRPr="007E7432">
        <w:rPr>
          <w:rFonts w:ascii="Aptos" w:eastAsia="微軟正黑體" w:hAnsi="Aptos" w:cs="Times New Roman"/>
          <w:b/>
          <w:bCs/>
          <w:sz w:val="24"/>
          <w:szCs w:val="24"/>
          <w:lang w:eastAsia="zh-TW"/>
        </w:rPr>
        <w:t>114064554</w:t>
      </w:r>
      <w:r w:rsidRPr="007E7432">
        <w:rPr>
          <w:rFonts w:ascii="Aptos" w:eastAsia="微軟正黑體" w:hAnsi="Aptos" w:cstheme="majorBidi"/>
          <w:b/>
          <w:bCs/>
          <w:color w:val="000000" w:themeColor="text1"/>
          <w:sz w:val="24"/>
          <w:szCs w:val="24"/>
          <w:lang w:eastAsia="zh-TW"/>
        </w:rPr>
        <w:t>, Member)</w:t>
      </w:r>
      <w:r w:rsidR="004C6C6C" w:rsidRPr="007E7432">
        <w:rPr>
          <w:rFonts w:ascii="Aptos" w:eastAsia="微軟正黑體" w:hAnsi="Aptos" w:cstheme="majorBidi" w:hint="eastAsia"/>
          <w:color w:val="000000" w:themeColor="text1"/>
          <w:sz w:val="24"/>
          <w:szCs w:val="24"/>
          <w:lang w:eastAsia="zh-TW"/>
        </w:rPr>
        <w:t>：</w:t>
      </w:r>
      <w:r w:rsidRPr="007E7432">
        <w:rPr>
          <w:rFonts w:ascii="Aptos" w:eastAsia="微軟正黑體" w:hAnsi="Aptos" w:cstheme="majorBidi" w:hint="eastAsia"/>
          <w:color w:val="000000" w:themeColor="text1"/>
          <w:sz w:val="24"/>
          <w:szCs w:val="24"/>
          <w:lang w:eastAsia="zh-TW"/>
        </w:rPr>
        <w:t>設計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XGBoost</w:t>
      </w:r>
      <w:r w:rsidRPr="007E7432">
        <w:rPr>
          <w:rFonts w:ascii="Aptos" w:eastAsia="微軟正黑體" w:hAnsi="Aptos"/>
          <w:sz w:val="24"/>
          <w:szCs w:val="24"/>
        </w:rPr>
        <w:t xml:space="preserve"> Model</w:t>
      </w:r>
      <w:r w:rsidRPr="007E7432">
        <w:rPr>
          <w:rFonts w:ascii="Aptos" w:eastAsia="微軟正黑體" w:hAnsi="Aptos"/>
          <w:sz w:val="24"/>
          <w:szCs w:val="24"/>
          <w:lang w:eastAsia="zh-TW"/>
        </w:rPr>
        <w:br/>
      </w:r>
      <w:r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- </w:t>
      </w:r>
      <w:r w:rsidR="004C6C6C" w:rsidRPr="004727E1">
        <w:rPr>
          <w:rFonts w:ascii="Aptos" w:eastAsia="微軟正黑體" w:hAnsi="Aptos" w:hint="eastAsia"/>
          <w:b/>
          <w:bCs/>
          <w:sz w:val="24"/>
          <w:szCs w:val="24"/>
          <w:lang w:eastAsia="zh-TW"/>
        </w:rPr>
        <w:t>共同研究：</w:t>
      </w:r>
      <w:r w:rsidR="004C6C6C" w:rsidRPr="007E7432">
        <w:rPr>
          <w:rFonts w:ascii="Aptos" w:eastAsia="微軟正黑體" w:hAnsi="Aptos" w:hint="eastAsia"/>
          <w:sz w:val="24"/>
          <w:szCs w:val="24"/>
          <w:lang w:eastAsia="zh-TW"/>
        </w:rPr>
        <w:t>預期成果、找尋最佳模型、製作使用者介面</w:t>
      </w:r>
    </w:p>
    <w:p w14:paraId="7D0BF3CC" w14:textId="7C95C8DB" w:rsidR="009767A7" w:rsidRPr="007E7432" w:rsidRDefault="00F6700F" w:rsidP="004C6C6C">
      <w:p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7E7432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>Abstract</w:t>
      </w:r>
    </w:p>
    <w:p w14:paraId="416E3909" w14:textId="77777777" w:rsidR="004C6C6C" w:rsidRPr="007E7432" w:rsidRDefault="00F6700F" w:rsidP="004C6C6C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本專題擬建立一套個人信貸風險評分模型，透過對借款人多維度資料的分析，預測其違約概率並給出信用評分。該模型將協助金融機構在貸前審核時更準確地評估借款風險，從而降低呆帳損失並提升放貸決策的品質。</w:t>
      </w:r>
    </w:p>
    <w:p w14:paraId="3F2DE623" w14:textId="2C65334F" w:rsidR="009767A7" w:rsidRPr="007E7432" w:rsidRDefault="00F6700F" w:rsidP="004C6C6C">
      <w:pPr>
        <w:pStyle w:val="ae"/>
        <w:numPr>
          <w:ilvl w:val="0"/>
          <w:numId w:val="10"/>
        </w:numPr>
        <w:jc w:val="both"/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7E7432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 xml:space="preserve">Introduction </w:t>
      </w:r>
    </w:p>
    <w:p w14:paraId="38D6BFAB" w14:textId="77777777" w:rsidR="004C6C6C" w:rsidRPr="007E7432" w:rsidRDefault="00F6700F" w:rsidP="00923F7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信用風險是銀行與貸款機構最核心的風險類型之一。若缺乏有效的風險評估，可能出現兩種痛點：</w:t>
      </w:r>
    </w:p>
    <w:p w14:paraId="2EB9110C" w14:textId="77777777" w:rsidR="00923F7E" w:rsidRPr="007E7432" w:rsidRDefault="00F6700F" w:rsidP="00923F7E">
      <w:pPr>
        <w:pStyle w:val="ae"/>
        <w:numPr>
          <w:ilvl w:val="0"/>
          <w:numId w:val="12"/>
        </w:num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低估風險導致審核不嚴，借款人違約頻發，造成銀行呆帳損失；</w:t>
      </w:r>
    </w:p>
    <w:p w14:paraId="037EBA69" w14:textId="77777777" w:rsidR="00923F7E" w:rsidRPr="007E7432" w:rsidRDefault="00F6700F" w:rsidP="00923F7E">
      <w:pPr>
        <w:pStyle w:val="ae"/>
        <w:numPr>
          <w:ilvl w:val="0"/>
          <w:numId w:val="12"/>
        </w:num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高估風險則可能錯失優質客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戶</w:t>
      </w:r>
      <w:r w:rsidRPr="007E7432">
        <w:rPr>
          <w:rFonts w:ascii="Aptos" w:eastAsia="微軟正黑體" w:hAnsi="Aptos" w:cs="MS Mincho" w:hint="eastAsia"/>
          <w:sz w:val="24"/>
          <w:szCs w:val="24"/>
          <w:lang w:eastAsia="zh-TW"/>
        </w:rPr>
        <w:t>，影響業務拓展並有失公平</w:t>
      </w:r>
      <w:r w:rsidR="00923F7E" w:rsidRPr="007E7432">
        <w:rPr>
          <w:rFonts w:ascii="Aptos" w:eastAsia="微軟正黑體" w:hAnsi="Aptos" w:cs="MS Mincho" w:hint="eastAsia"/>
          <w:sz w:val="24"/>
          <w:szCs w:val="24"/>
          <w:lang w:eastAsia="zh-TW"/>
        </w:rPr>
        <w:t>。</w:t>
      </w:r>
    </w:p>
    <w:p w14:paraId="20D67D76" w14:textId="0D11EB5B" w:rsidR="004C6C6C" w:rsidRDefault="00F6700F" w:rsidP="00923F7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傳統信用評分主要依賴專家經驗與簡單加權計分卡，對非傳統數據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如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>: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數位足跡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考慮不足，且難以捕捉非線性關係，導致評分結果有限。隨著金融科技與大數據的發展，如何利用機器學習提升信用風險預測的精確度與覆蓋面，已成為金融風控的重要課題。</w:t>
      </w:r>
    </w:p>
    <w:p w14:paraId="7802F3C8" w14:textId="77777777" w:rsidR="007E7432" w:rsidRPr="007E7432" w:rsidRDefault="007E7432" w:rsidP="00923F7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8B4C067" w14:textId="2F065423" w:rsidR="009767A7" w:rsidRPr="007E7432" w:rsidRDefault="00F6700F" w:rsidP="004C6C6C">
      <w:pPr>
        <w:pStyle w:val="ae"/>
        <w:numPr>
          <w:ilvl w:val="0"/>
          <w:numId w:val="10"/>
        </w:numPr>
        <w:rPr>
          <w:rFonts w:ascii="Aptos" w:eastAsia="微軟正黑體" w:hAnsi="Aptos" w:cs="MS Mincho"/>
          <w:b/>
          <w:bCs/>
          <w:sz w:val="32"/>
          <w:szCs w:val="32"/>
          <w:lang w:eastAsia="zh-TW"/>
        </w:rPr>
      </w:pPr>
      <w:r w:rsidRPr="007E7432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lastRenderedPageBreak/>
        <w:t>Literature Review or Study Cases</w:t>
      </w:r>
    </w:p>
    <w:p w14:paraId="2A84038A" w14:textId="3CE74577" w:rsidR="004C6C6C" w:rsidRDefault="00F6700F" w:rsidP="009C28B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現行金融業廣泛使用統計與機器學習方法來改進信用評分。例如，傳統</w:t>
      </w:r>
      <w:r w:rsidR="007828B5" w:rsidRPr="007E7432">
        <w:rPr>
          <w:rFonts w:ascii="Aptos" w:eastAsia="微軟正黑體" w:hAnsi="Aptos" w:cs="Times New Roman"/>
          <w:sz w:val="24"/>
          <w:szCs w:val="24"/>
          <w:lang w:eastAsia="zh-TW"/>
        </w:rPr>
        <w:t xml:space="preserve">Logistic </w:t>
      </w:r>
      <w:r w:rsidR="007828B5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R</w:t>
      </w:r>
      <w:r w:rsidR="007828B5" w:rsidRPr="007E7432">
        <w:rPr>
          <w:rFonts w:ascii="Aptos" w:eastAsia="微軟正黑體" w:hAnsi="Aptos" w:cs="Times New Roman"/>
          <w:sz w:val="24"/>
          <w:szCs w:val="24"/>
          <w:lang w:eastAsia="zh-TW"/>
        </w:rPr>
        <w:t>egression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製作的信用評分卡在解釋性上佳，但在大量變數與非線性關係下預測力有限；近期許多研究轉向決策樹集成模型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8A3B6F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XGBoost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、</w:t>
      </w:r>
      <w:r w:rsidR="007828B5" w:rsidRPr="007E7432">
        <w:rPr>
          <w:rFonts w:ascii="Aptos" w:eastAsia="微軟正黑體" w:hAnsi="Aptos" w:cs="Times New Roman"/>
          <w:sz w:val="24"/>
          <w:szCs w:val="24"/>
          <w:lang w:eastAsia="zh-TW"/>
        </w:rPr>
        <w:t xml:space="preserve">Random </w:t>
      </w:r>
      <w:r w:rsidR="007828B5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F</w:t>
      </w:r>
      <w:r w:rsidR="007828B5" w:rsidRPr="007E7432">
        <w:rPr>
          <w:rFonts w:ascii="Aptos" w:eastAsia="微軟正黑體" w:hAnsi="Aptos" w:cs="Times New Roman"/>
          <w:sz w:val="24"/>
          <w:szCs w:val="24"/>
          <w:lang w:eastAsia="zh-TW"/>
        </w:rPr>
        <w:t>orest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 xml:space="preserve">)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和深度學習以提高預測性能。某知名研究比較了六種資料探勘技術預測信用卡客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戶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違約，結果顯示人工神經網路對違約機率的預測最為準確。開源案例如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Kaggle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的「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Home Credit Default Risk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」競賽及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Lending Club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借貸資料分析也顯示，運用更多元的客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戶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資料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包括人口統計、財務特徵與還款歷史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 xml:space="preserve">)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並採用先進模型，可以有效提升違約預測的準確率。同時，文獻也強調模型風險需受控，確保預測結果符合監管要求與公平性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>，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避免出現歧視性變數影響。</w:t>
      </w:r>
    </w:p>
    <w:p w14:paraId="08740431" w14:textId="77777777" w:rsidR="006A1CB7" w:rsidRPr="007E7432" w:rsidRDefault="006A1CB7" w:rsidP="009C28B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090071E" w14:textId="22F4F5BC" w:rsidR="009767A7" w:rsidRPr="009C28BE" w:rsidRDefault="00F6700F" w:rsidP="004C6C6C">
      <w:pPr>
        <w:pStyle w:val="ae"/>
        <w:numPr>
          <w:ilvl w:val="0"/>
          <w:numId w:val="10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9C28BE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 xml:space="preserve">Method </w:t>
      </w:r>
    </w:p>
    <w:p w14:paraId="7D3FF895" w14:textId="5C67B1FC" w:rsidR="004C6C6C" w:rsidRDefault="00F6700F" w:rsidP="009C28B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本專題將使用公開的信用風險數據集訓練模型。例如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UCI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「信用卡違約預測」資料集，包含臺灣某銀行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30,000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筆持卡人資訊及未來是否違約的標記，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內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含約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23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個特徵欄位，包括年齡、收入、信用額度、教育、婚姻狀況以及過去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6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個月的還款記錄等。資料來源也可考慮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P2P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借貸平台公開的歷史貸款資料</w:t>
      </w:r>
      <w:r w:rsidR="00EF7AA4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EF7AA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如</w:t>
      </w:r>
      <w:r w:rsidR="008724B4" w:rsidRPr="007E7432">
        <w:rPr>
          <w:rFonts w:ascii="Aptos" w:eastAsia="微軟正黑體" w:hAnsi="Aptos" w:hint="eastAsia"/>
          <w:sz w:val="24"/>
          <w:szCs w:val="24"/>
          <w:lang w:eastAsia="zh-TW"/>
        </w:rPr>
        <w:t>: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Lending Club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="008724B4" w:rsidRPr="007E7432">
        <w:rPr>
          <w:rFonts w:ascii="Aptos" w:eastAsia="微軟正黑體" w:hAnsi="Aptos" w:hint="eastAsia"/>
          <w:sz w:val="24"/>
          <w:szCs w:val="24"/>
          <w:lang w:eastAsia="zh-TW"/>
        </w:rPr>
        <w:t>數據</w:t>
      </w:r>
      <w:r w:rsidR="008724B4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，以增加多樣性。在資料分析上，首先進行資料清理與探索性分析，瞭解違約客群特徵分布；接著選擇多種模型進行預測，包括</w:t>
      </w:r>
      <w:r w:rsidR="002B7FDE" w:rsidRPr="007E7432">
        <w:rPr>
          <w:rFonts w:ascii="Aptos" w:eastAsia="微軟正黑體" w:hAnsi="Aptos" w:cs="Times New Roman"/>
          <w:sz w:val="24"/>
          <w:szCs w:val="24"/>
          <w:lang w:eastAsia="zh-TW"/>
        </w:rPr>
        <w:t>Logistic regression</w:t>
      </w:r>
      <w:r w:rsidR="002B7FD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 xml:space="preserve"> 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作為基準</w:t>
      </w:r>
      <w:r w:rsidR="002B7FD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、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XGBoost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以及深度學習模型等。由於違約樣本通常佔比相對較低，我們會視需要採取不平衡資料處理</w:t>
      </w:r>
      <w:r w:rsidR="003A3F58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3A3F58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例如調整樣本權重或欠抽樣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/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過抽樣技術</w:t>
      </w:r>
      <w:r w:rsidR="003A3F58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。模型訓練將透過交叉驗證優化超參數，以避免過擬合。評估指標除了準確率，更著重召回率</w:t>
      </w:r>
      <w:r w:rsidR="002B7FDE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2B7FD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確保高風險客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戶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能被抓到</w:t>
      </w:r>
      <w:r w:rsidR="002B7FD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以及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AUC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等整體判別力指標。分析過程中亦會運用特徵重要度</w:t>
      </w:r>
      <w:r w:rsidR="002B7FDE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2B7FD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如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 xml:space="preserve"> XGBoost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的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gain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值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或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SHAP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 xml:space="preserve"> 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值</w:t>
      </w:r>
      <w:r w:rsidR="003A3F58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 xml:space="preserve">) 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來解釋模型決策，確保結果具有一定可解釋性以利實務應用。</w:t>
      </w:r>
    </w:p>
    <w:p w14:paraId="00C2F9F7" w14:textId="77777777" w:rsidR="00EC2567" w:rsidRPr="007E7432" w:rsidRDefault="00EC2567" w:rsidP="009C28BE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7304881" w14:textId="5927D7EF" w:rsidR="009767A7" w:rsidRPr="00EC2567" w:rsidRDefault="00F6700F" w:rsidP="004C6C6C">
      <w:pPr>
        <w:pStyle w:val="ae"/>
        <w:numPr>
          <w:ilvl w:val="0"/>
          <w:numId w:val="10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EC2567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lastRenderedPageBreak/>
        <w:t xml:space="preserve">Expected </w:t>
      </w:r>
      <w:r w:rsidR="00875BBF">
        <w:rPr>
          <w:rFonts w:ascii="Aptos" w:eastAsia="微軟正黑體" w:hAnsi="Aptos" w:cs="Times New Roman" w:hint="eastAsia"/>
          <w:b/>
          <w:bCs/>
          <w:color w:val="000000" w:themeColor="text1"/>
          <w:sz w:val="32"/>
          <w:szCs w:val="32"/>
          <w:lang w:eastAsia="zh-TW"/>
        </w:rPr>
        <w:t>O</w:t>
      </w:r>
      <w:r w:rsidRPr="00EC2567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 xml:space="preserve">utcomes </w:t>
      </w:r>
    </w:p>
    <w:p w14:paraId="12CF3A3D" w14:textId="77777777" w:rsidR="004C6C6C" w:rsidRDefault="00F6700F" w:rsidP="00D156C9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我們將開發一套信用風險評分原型系統。預期包含：一個可輸入申請人關鍵資訊的預測工具或網站，即時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產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出信用違約概率及對應的信用評分。例如</w:t>
      </w:r>
      <w:r w:rsidR="0018158E" w:rsidRPr="007E7432">
        <w:rPr>
          <w:rFonts w:ascii="Aptos" w:eastAsia="微軟正黑體" w:hAnsi="Aptos" w:hint="eastAsia"/>
          <w:sz w:val="24"/>
          <w:szCs w:val="24"/>
          <w:lang w:eastAsia="zh-TW"/>
        </w:rPr>
        <w:t>製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作一個前端介面，讓使用者輸入借款人的年齡、收入、負債比等資料，後端即調用訓練好的模型返回一個風險分數</w:t>
      </w:r>
      <w:r w:rsidR="0018158E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18158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如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0~100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分，分數越高表示違約風險越高</w:t>
      </w:r>
      <w:r w:rsidR="0018158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。此外，系統將提供簡易報表或儀表板，呈現申請人在同儕中的風險水平分佈，以及主要風險因子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說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明</w:t>
      </w:r>
      <w:r w:rsidR="0018158E" w:rsidRPr="007E7432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="0018158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(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例如「收入偏低、最近兩期延遲還款」等風險提示</w:t>
      </w:r>
      <w:r w:rsidR="0018158E" w:rsidRPr="007E7432">
        <w:rPr>
          <w:rFonts w:ascii="Aptos" w:eastAsia="微軟正黑體" w:hAnsi="Aptos" w:cs="Times New Roman" w:hint="eastAsia"/>
          <w:sz w:val="24"/>
          <w:szCs w:val="24"/>
          <w:lang w:eastAsia="zh-TW"/>
        </w:rPr>
        <w:t>)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。此成果可以作為銀行審核人員的輔助決策工具，幫助他們更直觀地理解每位申請人的風險概況。</w:t>
      </w:r>
    </w:p>
    <w:p w14:paraId="31E9EE82" w14:textId="77777777" w:rsidR="006A1CB7" w:rsidRPr="007E7432" w:rsidRDefault="006A1CB7" w:rsidP="00D156C9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232C75FB" w14:textId="32F9F553" w:rsidR="009767A7" w:rsidRPr="00D156C9" w:rsidRDefault="004C6C6C" w:rsidP="004C6C6C">
      <w:pPr>
        <w:pStyle w:val="ae"/>
        <w:numPr>
          <w:ilvl w:val="0"/>
          <w:numId w:val="10"/>
        </w:numPr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D156C9">
        <w:rPr>
          <w:rFonts w:ascii="Aptos" w:eastAsia="微軟正黑體" w:hAnsi="Aptos" w:hint="eastAsia"/>
          <w:b/>
          <w:bCs/>
          <w:sz w:val="32"/>
          <w:szCs w:val="32"/>
          <w:lang w:eastAsia="zh-TW"/>
        </w:rPr>
        <w:t>C</w:t>
      </w:r>
      <w:r w:rsidR="00F6700F" w:rsidRPr="00D156C9">
        <w:rPr>
          <w:rFonts w:ascii="Aptos" w:eastAsia="微軟正黑體" w:hAnsi="Aptos" w:cs="Times New Roman"/>
          <w:b/>
          <w:bCs/>
          <w:color w:val="000000" w:themeColor="text1"/>
          <w:sz w:val="32"/>
          <w:szCs w:val="32"/>
          <w:lang w:eastAsia="zh-TW"/>
        </w:rPr>
        <w:t>onclusion</w:t>
      </w:r>
    </w:p>
    <w:p w14:paraId="7BB6E703" w14:textId="77777777" w:rsidR="009767A7" w:rsidRDefault="00F6700F" w:rsidP="00D156C9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7E7432">
        <w:rPr>
          <w:rFonts w:ascii="Aptos" w:eastAsia="微軟正黑體" w:hAnsi="Aptos"/>
          <w:sz w:val="24"/>
          <w:szCs w:val="24"/>
          <w:lang w:eastAsia="zh-TW"/>
        </w:rPr>
        <w:t>本專題透過機器學習建立量化的信用風險評分模型，以解決傳統人工審核耗時且可能不精確的痛點。最終的模型與系統將有助於金融機構提前預判借款人違約風險，優化信貸審批流程，在降低不良債權損失的同時，亦能提高優質客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戶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的核准率，達到風險控制與業務發展的平衡。專題成果亦可進一步延伸，如將模型部署為</w:t>
      </w:r>
      <w:r w:rsidRPr="007E7432">
        <w:rPr>
          <w:rFonts w:ascii="Aptos" w:eastAsia="微軟正黑體" w:hAnsi="Aptos" w:cs="Times New Roman"/>
          <w:sz w:val="24"/>
          <w:szCs w:val="24"/>
          <w:lang w:eastAsia="zh-TW"/>
        </w:rPr>
        <w:t>API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供線上貸款系統調用，真正應用在金融科技場景中，體現學術理論對金融實務的價</w:t>
      </w:r>
      <w:r w:rsidRPr="007E7432">
        <w:rPr>
          <w:rFonts w:ascii="Aptos" w:eastAsia="微軟正黑體" w:hAnsi="Aptos" w:cs="微軟正黑體" w:hint="eastAsia"/>
          <w:sz w:val="24"/>
          <w:szCs w:val="24"/>
          <w:lang w:eastAsia="zh-TW"/>
        </w:rPr>
        <w:t>值</w:t>
      </w:r>
      <w:r w:rsidRPr="007E7432">
        <w:rPr>
          <w:rFonts w:ascii="Aptos" w:eastAsia="微軟正黑體" w:hAnsi="Aptos"/>
          <w:sz w:val="24"/>
          <w:szCs w:val="24"/>
          <w:lang w:eastAsia="zh-TW"/>
        </w:rPr>
        <w:t>。</w:t>
      </w:r>
    </w:p>
    <w:p w14:paraId="15CFF312" w14:textId="77777777" w:rsidR="00CC0D01" w:rsidRDefault="00CC0D01" w:rsidP="00D156C9">
      <w:pPr>
        <w:ind w:firstLineChars="200" w:firstLine="480"/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40098F05" w14:textId="09BEA782" w:rsidR="004B286E" w:rsidRPr="004B286E" w:rsidRDefault="004B286E" w:rsidP="004B286E">
      <w:pPr>
        <w:jc w:val="both"/>
        <w:rPr>
          <w:rFonts w:ascii="Aptos" w:eastAsia="微軟正黑體" w:hAnsi="Aptos"/>
          <w:b/>
          <w:bCs/>
          <w:sz w:val="32"/>
          <w:szCs w:val="32"/>
          <w:lang w:eastAsia="zh-TW"/>
        </w:rPr>
      </w:pPr>
      <w:r w:rsidRPr="004B286E">
        <w:rPr>
          <w:rFonts w:ascii="Aptos" w:eastAsia="微軟正黑體" w:hAnsi="Aptos"/>
          <w:b/>
          <w:bCs/>
          <w:sz w:val="32"/>
          <w:szCs w:val="32"/>
          <w:lang w:eastAsia="zh-TW"/>
        </w:rPr>
        <w:t>References</w:t>
      </w:r>
    </w:p>
    <w:p w14:paraId="49C08802" w14:textId="0A01D392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Basel Committee on Banking Supervision. (2006). International convergence of capital measurement and capital standards: A revised framework. Bank for International Settlements. </w:t>
      </w:r>
      <w:hyperlink r:id="rId6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https://www.bis.org/publ/bcbs128.htm</w:t>
        </w:r>
      </w:hyperlink>
    </w:p>
    <w:p w14:paraId="7A2EA2B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A255F8F" w14:textId="44AFF52E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Chen, T., &amp; Guestrin, C. (2016). XGBoost: A scalable tree boosting system. KDD ’16 Proceedings, 785–794. </w:t>
      </w:r>
      <w:hyperlink r:id="rId7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https://doi.org/10.1145/2939672.2939785</w:t>
        </w:r>
      </w:hyperlink>
    </w:p>
    <w:p w14:paraId="36CFCE63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D2D72D8" w14:textId="196E29A6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lastRenderedPageBreak/>
        <w:t xml:space="preserve">Hand, D. J., &amp; Henley, W. E. (1997). Statistical classification methods in consumer credit scoring: A review. Journal of the Royal Statistical Society: Series A, 160(3), 523–541. </w:t>
      </w:r>
      <w:hyperlink r:id="rId8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https://doi.org/10.1111/j.1467-985X.1997.00078.x</w:t>
        </w:r>
      </w:hyperlink>
    </w:p>
    <w:p w14:paraId="339BC23A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79770B46" w14:textId="5E6CAB89" w:rsidR="004B286E" w:rsidRPr="004B286E" w:rsidRDefault="004B286E" w:rsidP="004B286E">
      <w:pPr>
        <w:pStyle w:val="a9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>Kaggle.(2017).Home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>credit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>default</w:t>
      </w:r>
      <w:r w:rsidRPr="004B286E"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risk. </w:t>
      </w:r>
      <w:hyperlink r:id="rId9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https://www.kaggle.com/competitions/home-credit-default-risk</w:t>
        </w:r>
      </w:hyperlink>
    </w:p>
    <w:p w14:paraId="66F88552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671F9598" w14:textId="4F727ADC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Khandani, A. E., Kim, A. J., &amp; Lo, A. W. (2010). Consumer credit-risk models via machine-learning algorithms. Journal of Banking &amp; Finance, 34(11), 2767–2787. </w:t>
      </w:r>
      <w:hyperlink r:id="rId10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https://doi.org/10.1016/j.jbankfin.2010.06.001</w:t>
        </w:r>
      </w:hyperlink>
    </w:p>
    <w:p w14:paraId="41BADD42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8C6FC2D" w14:textId="1AE3F41C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Lending Club. (2020). Loan statistics dataset. </w:t>
      </w:r>
      <w:hyperlink r:id="rId11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https://www.kaggle.com/datasets/wordsforthewise/lending-club</w:t>
        </w:r>
      </w:hyperlink>
    </w:p>
    <w:p w14:paraId="44C523F6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A01777F" w14:textId="6F773C42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Lessmann, S., Baesens, B., Seow, H. V., &amp; Thomas, L. C. (2015). Benchmarking state-of-the-art classification algorithms for credit scoring: An update of research. European Journal of Operational Research, 247(1), 124–136. </w:t>
      </w:r>
      <w:hyperlink r:id="rId12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https://doi.org/10.1016/j.ejor.2015.05.030</w:t>
        </w:r>
      </w:hyperlink>
    </w:p>
    <w:p w14:paraId="055228E5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BF77FEE" w14:textId="26C5EEC9" w:rsidR="004B286E" w:rsidRPr="004B286E" w:rsidRDefault="004B286E" w:rsidP="004B286E">
      <w:pPr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Lichman, M. (2013). UCI machine learning repository: Default of credit card clients dataset. University of California, Irvine. </w:t>
      </w:r>
      <w:hyperlink r:id="rId13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https://archive.ics.uci.edu/dataset/350/default+of+credit+card+clients</w:t>
        </w:r>
      </w:hyperlink>
    </w:p>
    <w:p w14:paraId="20F3A3C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3DDEECB9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>Siddiqi, N. (2017). Credit risk scorecards: Developing and implementing intelligent credit scoring. John Wiley &amp; Sons.</w:t>
      </w:r>
    </w:p>
    <w:p w14:paraId="2C2C5079" w14:textId="0856039E" w:rsidR="004B286E" w:rsidRPr="004B286E" w:rsidRDefault="00F97AF1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hyperlink r:id="rId14" w:anchor="v=onepage&amp;q&amp;f=false" w:history="1">
        <w:r w:rsidRPr="00F97AF1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books.google.com.tw/books?hl=zh-TW&amp;lr=&amp;id=SEbCeN3-kEUC&amp;oi=fnd&amp;pg=PT5&amp;dq=Siddiqi,+N.+(2017).+Credit+risk+scorecards:+Developing+and+implementing+intelligent+credit+scoring.+John+Wiley+%26+Sons.&amp;ots=RwUM9QcPiT&amp;sig=3xr_Bn8yOENGd-iHiIA7s3S2tz8&amp;redir_esc=y#v=onepage&amp;q&amp;f=false</w:t>
        </w:r>
      </w:hyperlink>
    </w:p>
    <w:p w14:paraId="3B17EE93" w14:textId="12D64677" w:rsid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lastRenderedPageBreak/>
        <w:t>Thomas, L. C. (2009). Consumer credit models: Pricing, profit, and portfolios. Oxford University Press.</w:t>
      </w:r>
      <w:r>
        <w:rPr>
          <w:rFonts w:ascii="Aptos" w:eastAsia="微軟正黑體" w:hAnsi="Aptos" w:hint="eastAsia"/>
          <w:sz w:val="24"/>
          <w:szCs w:val="24"/>
          <w:lang w:eastAsia="zh-TW"/>
        </w:rPr>
        <w:t xml:space="preserve"> </w:t>
      </w:r>
    </w:p>
    <w:p w14:paraId="32071EB0" w14:textId="529E3024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hyperlink r:id="rId15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https://www.researchgate.net/publication/227467712_Consumer_Credit_Models_Pricing_Profit_and_Portfolios</w:t>
        </w:r>
      </w:hyperlink>
    </w:p>
    <w:p w14:paraId="20285538" w14:textId="77777777" w:rsidR="004B286E" w:rsidRPr="004B286E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</w:p>
    <w:p w14:paraId="5189A4A9" w14:textId="3EEB77BA" w:rsidR="004B286E" w:rsidRPr="007E7432" w:rsidRDefault="004B286E" w:rsidP="004B286E">
      <w:pPr>
        <w:jc w:val="both"/>
        <w:rPr>
          <w:rFonts w:ascii="Aptos" w:eastAsia="微軟正黑體" w:hAnsi="Aptos"/>
          <w:sz w:val="24"/>
          <w:szCs w:val="24"/>
          <w:lang w:eastAsia="zh-TW"/>
        </w:rPr>
      </w:pPr>
      <w:r w:rsidRPr="004B286E">
        <w:rPr>
          <w:rFonts w:ascii="Aptos" w:eastAsia="微軟正黑體" w:hAnsi="Aptos"/>
          <w:sz w:val="24"/>
          <w:szCs w:val="24"/>
          <w:lang w:eastAsia="zh-TW"/>
        </w:rPr>
        <w:t xml:space="preserve">Wang, G., Ma, J., Huang, L., &amp; Xu, K. (2012). A two-stage classification approach for credit risk assessment. Expert Systems with Applications, 39(7), 8486–8491. </w:t>
      </w:r>
      <w:hyperlink r:id="rId16" w:history="1">
        <w:r w:rsidRPr="004B286E">
          <w:rPr>
            <w:rStyle w:val="affa"/>
            <w:rFonts w:ascii="Aptos" w:eastAsia="微軟正黑體" w:hAnsi="Aptos"/>
            <w:sz w:val="24"/>
            <w:szCs w:val="24"/>
            <w:lang w:eastAsia="zh-TW"/>
          </w:rPr>
          <w:t>https://doi.org/10.1016/j.eswa.2012.01.201</w:t>
        </w:r>
      </w:hyperlink>
    </w:p>
    <w:sectPr w:rsidR="004B286E" w:rsidRPr="007E7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8534A5"/>
    <w:multiLevelType w:val="hybridMultilevel"/>
    <w:tmpl w:val="3D766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F846BE"/>
    <w:multiLevelType w:val="hybridMultilevel"/>
    <w:tmpl w:val="B32A096C"/>
    <w:lvl w:ilvl="0" w:tplc="63926BB2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6BECC0C8">
      <w:start w:val="1"/>
      <w:numFmt w:val="decimal"/>
      <w:lvlText w:val="(%2)"/>
      <w:lvlJc w:val="left"/>
      <w:pPr>
        <w:ind w:left="48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0C67DB"/>
    <w:multiLevelType w:val="hybridMultilevel"/>
    <w:tmpl w:val="F01848B4"/>
    <w:lvl w:ilvl="0" w:tplc="6BECC0C8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786317279">
    <w:abstractNumId w:val="8"/>
  </w:num>
  <w:num w:numId="2" w16cid:durableId="551698494">
    <w:abstractNumId w:val="6"/>
  </w:num>
  <w:num w:numId="3" w16cid:durableId="1670330582">
    <w:abstractNumId w:val="5"/>
  </w:num>
  <w:num w:numId="4" w16cid:durableId="1294600554">
    <w:abstractNumId w:val="4"/>
  </w:num>
  <w:num w:numId="5" w16cid:durableId="318774965">
    <w:abstractNumId w:val="7"/>
  </w:num>
  <w:num w:numId="6" w16cid:durableId="1524436766">
    <w:abstractNumId w:val="3"/>
  </w:num>
  <w:num w:numId="7" w16cid:durableId="1616207953">
    <w:abstractNumId w:val="2"/>
  </w:num>
  <w:num w:numId="8" w16cid:durableId="619384136">
    <w:abstractNumId w:val="1"/>
  </w:num>
  <w:num w:numId="9" w16cid:durableId="755637274">
    <w:abstractNumId w:val="0"/>
  </w:num>
  <w:num w:numId="10" w16cid:durableId="424689528">
    <w:abstractNumId w:val="9"/>
  </w:num>
  <w:num w:numId="11" w16cid:durableId="1919098712">
    <w:abstractNumId w:val="10"/>
  </w:num>
  <w:num w:numId="12" w16cid:durableId="8154886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99"/>
    <w:rsid w:val="00004B5B"/>
    <w:rsid w:val="00004BBF"/>
    <w:rsid w:val="0001737C"/>
    <w:rsid w:val="00034616"/>
    <w:rsid w:val="0006063C"/>
    <w:rsid w:val="00141300"/>
    <w:rsid w:val="0015074B"/>
    <w:rsid w:val="001702BA"/>
    <w:rsid w:val="0018158E"/>
    <w:rsid w:val="00192454"/>
    <w:rsid w:val="001B5A9C"/>
    <w:rsid w:val="001C4E0C"/>
    <w:rsid w:val="002755D5"/>
    <w:rsid w:val="002769F5"/>
    <w:rsid w:val="0029639D"/>
    <w:rsid w:val="002B4CE6"/>
    <w:rsid w:val="002B7FDE"/>
    <w:rsid w:val="002D5A9B"/>
    <w:rsid w:val="00326F90"/>
    <w:rsid w:val="00376DD3"/>
    <w:rsid w:val="003A3F58"/>
    <w:rsid w:val="003F526F"/>
    <w:rsid w:val="00416D6E"/>
    <w:rsid w:val="004727E1"/>
    <w:rsid w:val="004B286E"/>
    <w:rsid w:val="004C63CA"/>
    <w:rsid w:val="004C6C6C"/>
    <w:rsid w:val="0056598A"/>
    <w:rsid w:val="00595B02"/>
    <w:rsid w:val="00650265"/>
    <w:rsid w:val="0067403F"/>
    <w:rsid w:val="006A1CB7"/>
    <w:rsid w:val="006D0673"/>
    <w:rsid w:val="00731113"/>
    <w:rsid w:val="007828B5"/>
    <w:rsid w:val="007B523A"/>
    <w:rsid w:val="007E7432"/>
    <w:rsid w:val="00860BE2"/>
    <w:rsid w:val="008613CE"/>
    <w:rsid w:val="00866C37"/>
    <w:rsid w:val="008724B4"/>
    <w:rsid w:val="0087562C"/>
    <w:rsid w:val="00875BBF"/>
    <w:rsid w:val="008A1260"/>
    <w:rsid w:val="008A3B6F"/>
    <w:rsid w:val="008B3DF7"/>
    <w:rsid w:val="008D0819"/>
    <w:rsid w:val="00923F7E"/>
    <w:rsid w:val="009445D9"/>
    <w:rsid w:val="009767A7"/>
    <w:rsid w:val="009A6A42"/>
    <w:rsid w:val="009C28BE"/>
    <w:rsid w:val="00A27EE6"/>
    <w:rsid w:val="00AA0F09"/>
    <w:rsid w:val="00AA1D8D"/>
    <w:rsid w:val="00AB1E0C"/>
    <w:rsid w:val="00AC682A"/>
    <w:rsid w:val="00B26A08"/>
    <w:rsid w:val="00B35AE9"/>
    <w:rsid w:val="00B47730"/>
    <w:rsid w:val="00B54225"/>
    <w:rsid w:val="00BA24B1"/>
    <w:rsid w:val="00BB3DF8"/>
    <w:rsid w:val="00C61D69"/>
    <w:rsid w:val="00C80DC4"/>
    <w:rsid w:val="00CB0664"/>
    <w:rsid w:val="00CC0D01"/>
    <w:rsid w:val="00CD5B16"/>
    <w:rsid w:val="00D156C9"/>
    <w:rsid w:val="00D73840"/>
    <w:rsid w:val="00DE7B8C"/>
    <w:rsid w:val="00E53C72"/>
    <w:rsid w:val="00E70519"/>
    <w:rsid w:val="00EC2567"/>
    <w:rsid w:val="00EF1E8C"/>
    <w:rsid w:val="00EF50D6"/>
    <w:rsid w:val="00EF7AA4"/>
    <w:rsid w:val="00F06491"/>
    <w:rsid w:val="00F6700F"/>
    <w:rsid w:val="00F7030E"/>
    <w:rsid w:val="00F97AF1"/>
    <w:rsid w:val="00FC693F"/>
    <w:rsid w:val="00FD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6A6B9"/>
  <w14:defaultImageDpi w14:val="300"/>
  <w15:docId w15:val="{CEF9F655-31AA-454C-8DDE-6EE89D4C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727E1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4727E1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4727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467-985X.1997.00078.x" TargetMode="External"/><Relationship Id="rId13" Type="http://schemas.openxmlformats.org/officeDocument/2006/relationships/hyperlink" Target="https://archive.ics.uci.edu/dataset/350/default+of+credit+card+client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i.org/10.1145/2939672.2939785" TargetMode="External"/><Relationship Id="rId12" Type="http://schemas.openxmlformats.org/officeDocument/2006/relationships/hyperlink" Target="https://doi.org/10.1016/j.ejor.2015.05.03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eswa.2012.01.20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bis.org/publ/bcbs128.htm" TargetMode="External"/><Relationship Id="rId11" Type="http://schemas.openxmlformats.org/officeDocument/2006/relationships/hyperlink" Target="https://www.kaggle.com/datasets/wordsforthewise/lending-clu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227467712_Consumer_Credit_Models_Pricing_Profit_and_Portfolios" TargetMode="External"/><Relationship Id="rId10" Type="http://schemas.openxmlformats.org/officeDocument/2006/relationships/hyperlink" Target="https://doi.org/10.1016/j.jbankfin.2010.06.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competitions/home-credit-default-risk" TargetMode="External"/><Relationship Id="rId14" Type="http://schemas.openxmlformats.org/officeDocument/2006/relationships/hyperlink" Target="https://books.google.com.tw/books?hl=zh-TW&amp;lr=&amp;id=SEbCeN3-kEUC&amp;oi=fnd&amp;pg=PT5&amp;dq=Siddiqi,+N.+(2017).+Credit+risk+scorecards:+Developing+and+implementing+intelligent+credit+scoring.+John+Wiley+%26+Sons.&amp;ots=RwUM9QcPiT&amp;sig=3xr_Bn8yOENGd-iHiIA7s3S2tz8&amp;redir_esc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6D37D6-179B-43DA-AE7D-BC26DA9A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緯承 劉</cp:lastModifiedBy>
  <cp:revision>3</cp:revision>
  <dcterms:created xsi:type="dcterms:W3CDTF">2025-10-31T04:56:00Z</dcterms:created>
  <dcterms:modified xsi:type="dcterms:W3CDTF">2025-10-31T04:57:00Z</dcterms:modified>
  <cp:category/>
</cp:coreProperties>
</file>