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40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49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757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cbf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949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757"/>
          <w:sz w:val="18"/>
          <w:szCs w:val="18"/>
          <w:rtl w:val="0"/>
        </w:rPr>
        <w:t xml:space="preserve">ts_product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cbf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e3b3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9492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a6e3b3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361444" cy="28447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444" cy="284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40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b757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757"/>
          <w:sz w:val="18"/>
          <w:szCs w:val="18"/>
          <w:rtl w:val="0"/>
        </w:rPr>
        <w:t xml:space="preserve">ts_returns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cbff"/>
          <w:sz w:val="18"/>
          <w:szCs w:val="18"/>
          <w:rtl w:val="0"/>
        </w:rPr>
        <w:t xml:space="preserve">correlation_last_30_days_spy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3b3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66013" cy="29677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013" cy="296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40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949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757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757"/>
          <w:sz w:val="18"/>
          <w:szCs w:val="18"/>
          <w:rtl w:val="0"/>
        </w:rPr>
        <w:t xml:space="preserve">quantile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ts_weighted_delay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1cbf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015018" cy="2786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01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