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5D758">
      <w:pPr>
        <w:jc w:val="center"/>
        <w:rPr>
          <w:rFonts w:ascii="Cambria" w:hAnsi="Cambria"/>
          <w:sz w:val="36"/>
          <w:szCs w:val="36"/>
        </w:rPr>
      </w:pPr>
      <w:r>
        <w:rPr>
          <w:rFonts w:hint="eastAsia" w:ascii="宋体"/>
          <w:b/>
          <w:sz w:val="36"/>
          <w:szCs w:val="36"/>
        </w:rPr>
        <w:t xml:space="preserve">   </w:t>
      </w:r>
      <w:r>
        <w:rPr>
          <w:rFonts w:hint="eastAsia" w:ascii="宋体"/>
          <w:b/>
          <w:sz w:val="36"/>
          <w:szCs w:val="36"/>
          <w:lang w:val="en-US" w:eastAsia="zh-CN"/>
        </w:rPr>
        <w:t>GEA轮罩</w:t>
      </w:r>
      <w:r>
        <w:rPr>
          <w:rFonts w:hint="eastAsia" w:ascii="宋体"/>
          <w:b/>
          <w:sz w:val="36"/>
          <w:szCs w:val="36"/>
        </w:rPr>
        <w:t>技术协议</w:t>
      </w:r>
    </w:p>
    <w:tbl>
      <w:tblPr>
        <w:tblStyle w:val="8"/>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8856"/>
      </w:tblGrid>
      <w:tr w14:paraId="1AA7CE08">
        <w:tblPrEx>
          <w:tblCellMar>
            <w:top w:w="0" w:type="dxa"/>
            <w:left w:w="108" w:type="dxa"/>
            <w:bottom w:w="0" w:type="dxa"/>
            <w:right w:w="108" w:type="dxa"/>
          </w:tblCellMar>
        </w:tblPrEx>
        <w:tc>
          <w:tcPr>
            <w:tcW w:w="5000" w:type="pct"/>
          </w:tcPr>
          <w:p w14:paraId="45929B7C">
            <w:pPr>
              <w:pStyle w:val="15"/>
              <w:rPr>
                <w:sz w:val="36"/>
                <w:szCs w:val="36"/>
              </w:rPr>
            </w:pPr>
          </w:p>
        </w:tc>
      </w:tr>
    </w:tbl>
    <w:p w14:paraId="65A20F42">
      <w:pPr>
        <w:rPr>
          <w:rFonts w:ascii="宋体"/>
          <w:b/>
          <w:sz w:val="36"/>
          <w:szCs w:val="36"/>
        </w:rPr>
      </w:pPr>
    </w:p>
    <w:p w14:paraId="0CD590A5">
      <w:pPr>
        <w:ind w:firstLine="2711" w:firstLineChars="750"/>
        <w:rPr>
          <w:rFonts w:ascii="宋体"/>
          <w:b/>
          <w:sz w:val="36"/>
          <w:szCs w:val="36"/>
        </w:rPr>
      </w:pPr>
    </w:p>
    <w:p w14:paraId="70324B5E">
      <w:pPr>
        <w:ind w:firstLine="2711" w:firstLineChars="750"/>
        <w:rPr>
          <w:rFonts w:ascii="宋体"/>
          <w:b/>
          <w:sz w:val="36"/>
          <w:szCs w:val="36"/>
        </w:rPr>
      </w:pPr>
    </w:p>
    <w:p w14:paraId="128B1076">
      <w:pPr>
        <w:ind w:firstLine="2711" w:firstLineChars="750"/>
        <w:rPr>
          <w:rFonts w:ascii="宋体"/>
          <w:b/>
          <w:sz w:val="36"/>
          <w:szCs w:val="36"/>
        </w:rPr>
      </w:pPr>
    </w:p>
    <w:p w14:paraId="4E3C8232">
      <w:pPr>
        <w:ind w:firstLine="2711" w:firstLineChars="750"/>
        <w:rPr>
          <w:rFonts w:ascii="宋体"/>
          <w:b/>
          <w:sz w:val="36"/>
          <w:szCs w:val="36"/>
        </w:rPr>
      </w:pPr>
    </w:p>
    <w:p w14:paraId="0F98BA20">
      <w:pPr>
        <w:ind w:firstLine="1807" w:firstLineChars="500"/>
        <w:rPr>
          <w:rFonts w:hint="default" w:ascii="宋体" w:eastAsiaTheme="minorEastAsia"/>
          <w:b/>
          <w:sz w:val="36"/>
          <w:szCs w:val="36"/>
          <w:lang w:val="en-US" w:eastAsia="zh-CN"/>
        </w:rPr>
      </w:pPr>
      <w:r>
        <w:rPr>
          <w:rFonts w:hint="eastAsia" w:ascii="宋体"/>
          <w:b/>
          <w:sz w:val="36"/>
          <w:szCs w:val="36"/>
        </w:rPr>
        <w:t>项目：</w:t>
      </w:r>
      <w:r>
        <w:rPr>
          <w:rFonts w:hint="eastAsia" w:ascii="宋体"/>
          <w:b/>
          <w:sz w:val="36"/>
          <w:szCs w:val="36"/>
          <w:lang w:val="en-US" w:eastAsia="zh-CN"/>
        </w:rPr>
        <w:t>GEA轮罩</w:t>
      </w:r>
    </w:p>
    <w:p w14:paraId="14E9079C">
      <w:pPr>
        <w:rPr>
          <w:rFonts w:ascii="宋体"/>
          <w:b/>
          <w:sz w:val="36"/>
          <w:szCs w:val="36"/>
        </w:rPr>
      </w:pPr>
    </w:p>
    <w:p w14:paraId="3855FF39">
      <w:pPr>
        <w:ind w:firstLine="1066" w:firstLineChars="295"/>
        <w:rPr>
          <w:rFonts w:ascii="宋体"/>
          <w:b/>
          <w:sz w:val="36"/>
          <w:szCs w:val="36"/>
        </w:rPr>
      </w:pPr>
    </w:p>
    <w:p w14:paraId="226131D1">
      <w:pPr>
        <w:ind w:firstLine="1807" w:firstLineChars="500"/>
        <w:rPr>
          <w:rFonts w:hint="default" w:ascii="宋体" w:eastAsiaTheme="minorEastAsia"/>
          <w:b/>
          <w:sz w:val="36"/>
          <w:szCs w:val="36"/>
          <w:lang w:val="en-US" w:eastAsia="zh-CN"/>
        </w:rPr>
      </w:pPr>
      <w:r>
        <w:rPr>
          <w:rFonts w:hint="eastAsia" w:ascii="宋体"/>
          <w:b/>
          <w:sz w:val="36"/>
          <w:szCs w:val="36"/>
        </w:rPr>
        <w:t xml:space="preserve">甲方： </w:t>
      </w:r>
      <w:r>
        <w:rPr>
          <w:rFonts w:hint="eastAsia" w:ascii="宋体"/>
          <w:b/>
          <w:sz w:val="36"/>
          <w:szCs w:val="36"/>
          <w:lang w:val="en-US" w:eastAsia="zh-CN"/>
        </w:rPr>
        <w:t>金榕汽车零部件股份有限公司</w:t>
      </w:r>
    </w:p>
    <w:p w14:paraId="6AB10428">
      <w:pPr>
        <w:ind w:firstLine="2150" w:firstLineChars="595"/>
        <w:rPr>
          <w:rFonts w:ascii="宋体"/>
          <w:b/>
          <w:sz w:val="36"/>
          <w:szCs w:val="36"/>
        </w:rPr>
      </w:pPr>
    </w:p>
    <w:p w14:paraId="6F3FF79A">
      <w:pPr>
        <w:ind w:firstLine="1807" w:firstLineChars="500"/>
        <w:rPr>
          <w:rFonts w:ascii="宋体"/>
          <w:b/>
          <w:sz w:val="36"/>
          <w:szCs w:val="36"/>
        </w:rPr>
      </w:pPr>
      <w:r>
        <w:rPr>
          <w:rFonts w:hint="eastAsia" w:ascii="宋体"/>
          <w:b/>
          <w:sz w:val="36"/>
          <w:szCs w:val="36"/>
        </w:rPr>
        <w:t xml:space="preserve">乙方： </w:t>
      </w:r>
      <w:r>
        <w:rPr>
          <w:rFonts w:hint="eastAsia" w:ascii="宋体"/>
          <w:b/>
          <w:sz w:val="36"/>
          <w:szCs w:val="36"/>
          <w:lang w:eastAsia="zh-CN"/>
        </w:rPr>
        <w:t>XXXXXXX</w:t>
      </w:r>
      <w:r>
        <w:rPr>
          <w:rFonts w:hint="eastAsia" w:ascii="宋体"/>
          <w:b/>
          <w:sz w:val="36"/>
          <w:szCs w:val="36"/>
        </w:rPr>
        <w:t>公司</w:t>
      </w:r>
    </w:p>
    <w:p w14:paraId="6425C06B">
      <w:pPr>
        <w:ind w:firstLine="1807" w:firstLineChars="500"/>
        <w:rPr>
          <w:rFonts w:ascii="宋体"/>
          <w:b/>
          <w:sz w:val="36"/>
          <w:szCs w:val="36"/>
        </w:rPr>
      </w:pPr>
    </w:p>
    <w:p w14:paraId="46F9ACF5">
      <w:pPr>
        <w:ind w:firstLine="1807" w:firstLineChars="500"/>
        <w:rPr>
          <w:rFonts w:ascii="宋体"/>
          <w:b/>
          <w:sz w:val="36"/>
          <w:szCs w:val="36"/>
        </w:rPr>
      </w:pPr>
    </w:p>
    <w:p w14:paraId="6B48959F">
      <w:pPr>
        <w:ind w:firstLine="1807" w:firstLineChars="500"/>
        <w:rPr>
          <w:rFonts w:ascii="宋体"/>
          <w:b/>
          <w:sz w:val="36"/>
          <w:szCs w:val="36"/>
        </w:rPr>
      </w:pPr>
    </w:p>
    <w:p w14:paraId="526A3EAA">
      <w:pPr>
        <w:ind w:firstLine="1807" w:firstLineChars="500"/>
        <w:rPr>
          <w:rFonts w:ascii="宋体"/>
          <w:b/>
          <w:sz w:val="36"/>
          <w:szCs w:val="36"/>
        </w:rPr>
      </w:pPr>
    </w:p>
    <w:p w14:paraId="081B87DA">
      <w:pPr>
        <w:ind w:firstLine="1807" w:firstLineChars="500"/>
        <w:rPr>
          <w:rFonts w:ascii="宋体"/>
          <w:b/>
          <w:sz w:val="36"/>
          <w:szCs w:val="36"/>
        </w:rPr>
      </w:pPr>
    </w:p>
    <w:p w14:paraId="31ECCDC3">
      <w:pPr>
        <w:ind w:firstLine="1807" w:firstLineChars="500"/>
        <w:rPr>
          <w:rFonts w:ascii="宋体"/>
          <w:b/>
          <w:sz w:val="36"/>
          <w:szCs w:val="36"/>
        </w:rPr>
      </w:pPr>
    </w:p>
    <w:p w14:paraId="7AAC36C6">
      <w:pPr>
        <w:ind w:firstLine="1807" w:firstLineChars="500"/>
        <w:rPr>
          <w:rFonts w:ascii="宋体"/>
          <w:b/>
          <w:sz w:val="36"/>
          <w:szCs w:val="36"/>
        </w:rPr>
      </w:pPr>
    </w:p>
    <w:p w14:paraId="4D13C4C2">
      <w:pPr>
        <w:ind w:firstLine="2150" w:firstLineChars="595"/>
        <w:rPr>
          <w:rFonts w:ascii="宋体"/>
          <w:b/>
          <w:sz w:val="36"/>
          <w:szCs w:val="36"/>
        </w:rPr>
      </w:pPr>
      <w:r>
        <w:rPr>
          <w:rFonts w:hint="eastAsia" w:ascii="宋体"/>
          <w:b/>
          <w:sz w:val="36"/>
          <w:szCs w:val="36"/>
        </w:rPr>
        <w:t>日期：</w:t>
      </w:r>
      <w:r>
        <w:rPr>
          <w:rFonts w:hint="eastAsia" w:ascii="宋体"/>
          <w:b/>
          <w:sz w:val="36"/>
          <w:szCs w:val="36"/>
          <w:lang w:val="en-US" w:eastAsia="zh-CN"/>
        </w:rPr>
        <w:t>2026</w:t>
      </w:r>
      <w:r>
        <w:rPr>
          <w:rFonts w:hint="eastAsia" w:ascii="宋体"/>
          <w:b/>
          <w:sz w:val="36"/>
          <w:szCs w:val="36"/>
        </w:rPr>
        <w:t xml:space="preserve"> 年 </w:t>
      </w:r>
      <w:r>
        <w:rPr>
          <w:rFonts w:hint="eastAsia" w:ascii="宋体"/>
          <w:b/>
          <w:sz w:val="36"/>
          <w:szCs w:val="36"/>
          <w:lang w:val="en-US" w:eastAsia="zh-CN"/>
        </w:rPr>
        <w:t>06</w:t>
      </w:r>
      <w:r>
        <w:rPr>
          <w:rFonts w:hint="eastAsia" w:ascii="宋体"/>
          <w:b/>
          <w:sz w:val="36"/>
          <w:szCs w:val="36"/>
        </w:rPr>
        <w:t xml:space="preserve">月 </w:t>
      </w:r>
      <w:r>
        <w:rPr>
          <w:rFonts w:hint="eastAsia" w:ascii="宋体"/>
          <w:b/>
          <w:sz w:val="36"/>
          <w:szCs w:val="36"/>
          <w:lang w:val="en-US" w:eastAsia="zh-CN"/>
        </w:rPr>
        <w:t>11</w:t>
      </w:r>
      <w:r>
        <w:rPr>
          <w:rFonts w:hint="eastAsia" w:ascii="宋体"/>
          <w:b/>
          <w:sz w:val="36"/>
          <w:szCs w:val="36"/>
        </w:rPr>
        <w:t xml:space="preserve">日       </w:t>
      </w:r>
    </w:p>
    <w:p w14:paraId="22463A79">
      <w:pPr>
        <w:ind w:firstLine="2692" w:firstLineChars="745"/>
        <w:rPr>
          <w:rFonts w:ascii="宋体"/>
          <w:b/>
          <w:sz w:val="36"/>
          <w:szCs w:val="36"/>
        </w:rPr>
      </w:pPr>
    </w:p>
    <w:p w14:paraId="0E97DAB5">
      <w:pPr>
        <w:ind w:firstLine="2692" w:firstLineChars="745"/>
        <w:rPr>
          <w:rFonts w:ascii="宋体"/>
          <w:b/>
          <w:sz w:val="36"/>
          <w:szCs w:val="36"/>
        </w:rPr>
      </w:pPr>
    </w:p>
    <w:p w14:paraId="01DD609F">
      <w:pPr>
        <w:ind w:firstLine="2692" w:firstLineChars="745"/>
        <w:rPr>
          <w:rFonts w:ascii="宋体"/>
          <w:b/>
          <w:sz w:val="36"/>
          <w:szCs w:val="36"/>
        </w:rPr>
      </w:pPr>
    </w:p>
    <w:p w14:paraId="0206B6FC">
      <w:pPr>
        <w:ind w:firstLine="2692" w:firstLineChars="745"/>
        <w:rPr>
          <w:rFonts w:ascii="宋体"/>
          <w:b/>
          <w:sz w:val="36"/>
          <w:szCs w:val="36"/>
        </w:rPr>
      </w:pPr>
    </w:p>
    <w:p w14:paraId="6EF87B07">
      <w:pPr>
        <w:autoSpaceDE w:val="0"/>
        <w:autoSpaceDN w:val="0"/>
        <w:adjustRightInd w:val="0"/>
        <w:spacing w:line="720" w:lineRule="auto"/>
        <w:ind w:firstLine="2880" w:firstLineChars="600"/>
        <w:rPr>
          <w:rFonts w:ascii="Times New Roman" w:hAnsi="Times New Roman" w:eastAsia="楷体_GB2312" w:cs="Times New Roman"/>
          <w:sz w:val="48"/>
          <w:szCs w:val="48"/>
        </w:rPr>
      </w:pPr>
      <w:r>
        <w:rPr>
          <w:rFonts w:hint="eastAsia" w:ascii="楷体_GB2312" w:eastAsia="楷体_GB2312" w:cs="楷体_GB2312"/>
          <w:sz w:val="48"/>
          <w:szCs w:val="48"/>
          <w:lang w:val="zh-CN"/>
        </w:rPr>
        <w:t>技</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术</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协</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议</w:t>
      </w:r>
    </w:p>
    <w:p w14:paraId="3723DDD7">
      <w:pPr>
        <w:autoSpaceDE w:val="0"/>
        <w:autoSpaceDN w:val="0"/>
        <w:adjustRightInd w:val="0"/>
        <w:ind w:firstLine="525"/>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采购方:  金榕汽车零部件股份有限公司</w:t>
      </w:r>
      <w:r>
        <w:rPr>
          <w:rFonts w:hint="eastAsia" w:ascii="方正仿宋_GB2312" w:hAnsi="方正仿宋_GB2312" w:eastAsia="方正仿宋_GB2312" w:cs="方正仿宋_GB2312"/>
          <w:sz w:val="21"/>
          <w:szCs w:val="21"/>
          <w:u w:val="single"/>
          <w:lang w:val="zh-CN"/>
        </w:rPr>
        <w:t xml:space="preserve">  </w:t>
      </w:r>
      <w:r>
        <w:rPr>
          <w:rFonts w:hint="eastAsia" w:ascii="方正仿宋_GB2312" w:hAnsi="方正仿宋_GB2312" w:eastAsia="方正仿宋_GB2312" w:cs="方正仿宋_GB2312"/>
          <w:sz w:val="21"/>
          <w:szCs w:val="21"/>
          <w:lang w:val="zh-CN"/>
        </w:rPr>
        <w:t>（以下简称“甲方”）</w:t>
      </w:r>
    </w:p>
    <w:p w14:paraId="74F54CF2">
      <w:pPr>
        <w:autoSpaceDE w:val="0"/>
        <w:autoSpaceDN w:val="0"/>
        <w:adjustRightInd w:val="0"/>
        <w:ind w:firstLine="16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是一家按中国法律组织和存续的有限责任公司</w:t>
      </w:r>
    </w:p>
    <w:p w14:paraId="7DB5A57D">
      <w:pPr>
        <w:autoSpaceDE w:val="0"/>
        <w:autoSpaceDN w:val="0"/>
        <w:adjustRightInd w:val="0"/>
        <w:ind w:firstLine="4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 xml:space="preserve">住所地：  </w:t>
      </w:r>
      <w:r>
        <w:rPr>
          <w:rFonts w:hint="eastAsia" w:ascii="方正仿宋_GB2312" w:hAnsi="方正仿宋_GB2312" w:eastAsia="方正仿宋_GB2312" w:cs="方正仿宋_GB2312"/>
          <w:sz w:val="21"/>
          <w:szCs w:val="21"/>
          <w:u w:val="single"/>
          <w:lang w:val="zh-CN"/>
        </w:rPr>
        <w:t>上海市</w:t>
      </w:r>
    </w:p>
    <w:p w14:paraId="25E965B1">
      <w:pPr>
        <w:ind w:firstLine="420" w:firstLineChars="200"/>
        <w:rPr>
          <w:rFonts w:hint="eastAsia" w:ascii="方正仿宋_GB2312" w:hAnsi="方正仿宋_GB2312" w:eastAsia="方正仿宋_GB2312" w:cs="方正仿宋_GB2312"/>
          <w:color w:val="000000"/>
          <w:sz w:val="21"/>
          <w:szCs w:val="21"/>
        </w:rPr>
      </w:pPr>
      <w:r>
        <w:rPr>
          <w:rFonts w:hint="eastAsia" w:ascii="方正仿宋_GB2312" w:hAnsi="方正仿宋_GB2312" w:eastAsia="方正仿宋_GB2312" w:cs="方正仿宋_GB2312"/>
          <w:sz w:val="21"/>
          <w:szCs w:val="21"/>
          <w:lang w:val="zh-CN"/>
        </w:rPr>
        <w:t xml:space="preserve">供货方：  </w:t>
      </w:r>
      <w:r>
        <w:rPr>
          <w:rFonts w:hint="eastAsia" w:ascii="方正仿宋_GB2312" w:hAnsi="方正仿宋_GB2312" w:eastAsia="方正仿宋_GB2312" w:cs="方正仿宋_GB2312"/>
          <w:sz w:val="21"/>
          <w:szCs w:val="21"/>
          <w:highlight w:val="yellow"/>
          <w:u w:val="single"/>
          <w:lang w:val="zh-CN"/>
        </w:rPr>
        <w:t>XXXXXXX汽车部件有限公司</w:t>
      </w:r>
      <w:r>
        <w:rPr>
          <w:rFonts w:hint="eastAsia" w:ascii="方正仿宋_GB2312" w:hAnsi="方正仿宋_GB2312" w:eastAsia="方正仿宋_GB2312" w:cs="方正仿宋_GB2312"/>
          <w:sz w:val="21"/>
          <w:szCs w:val="21"/>
          <w:lang w:val="zh-CN"/>
        </w:rPr>
        <w:t>（以下简称“乙方”），</w:t>
      </w:r>
    </w:p>
    <w:p w14:paraId="0B0BD283">
      <w:pPr>
        <w:autoSpaceDE w:val="0"/>
        <w:autoSpaceDN w:val="0"/>
        <w:adjustRightInd w:val="0"/>
        <w:ind w:firstLine="16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是一家按中国法律组织和存续的有限责任公司</w:t>
      </w:r>
    </w:p>
    <w:p w14:paraId="483451BA">
      <w:pPr>
        <w:autoSpaceDE w:val="0"/>
        <w:autoSpaceDN w:val="0"/>
        <w:adjustRightInd w:val="0"/>
        <w:ind w:firstLine="480"/>
        <w:rPr>
          <w:rFonts w:hint="eastAsia" w:ascii="方正仿宋_GB2312" w:hAnsi="方正仿宋_GB2312" w:eastAsia="方正仿宋_GB2312" w:cs="方正仿宋_GB2312"/>
          <w:sz w:val="21"/>
          <w:szCs w:val="21"/>
          <w:u w:val="single"/>
          <w:lang w:val="zh-CN"/>
        </w:rPr>
      </w:pPr>
      <w:r>
        <w:rPr>
          <w:rFonts w:hint="eastAsia" w:ascii="方正仿宋_GB2312" w:hAnsi="方正仿宋_GB2312" w:eastAsia="方正仿宋_GB2312" w:cs="方正仿宋_GB2312"/>
          <w:sz w:val="21"/>
          <w:szCs w:val="21"/>
          <w:lang w:val="zh-CN"/>
        </w:rPr>
        <w:t>住所地：</w:t>
      </w:r>
      <w:r>
        <w:rPr>
          <w:rFonts w:hint="eastAsia" w:ascii="方正仿宋_GB2312" w:hAnsi="方正仿宋_GB2312" w:eastAsia="方正仿宋_GB2312" w:cs="方正仿宋_GB2312"/>
          <w:sz w:val="21"/>
          <w:szCs w:val="21"/>
          <w:u w:val="single"/>
          <w:lang w:val="zh-CN"/>
        </w:rPr>
        <w:t xml:space="preserve">                                           </w:t>
      </w:r>
    </w:p>
    <w:p w14:paraId="14A10E05">
      <w:pPr>
        <w:autoSpaceDE w:val="0"/>
        <w:autoSpaceDN w:val="0"/>
        <w:adjustRightInd w:val="0"/>
        <w:ind w:firstLine="525"/>
        <w:rPr>
          <w:rFonts w:hint="eastAsia" w:ascii="方正仿宋_GB2312" w:hAnsi="方正仿宋_GB2312" w:eastAsia="方正仿宋_GB2312" w:cs="方正仿宋_GB2312"/>
          <w:sz w:val="21"/>
          <w:szCs w:val="21"/>
          <w:u w:val="single"/>
        </w:rPr>
      </w:pPr>
      <w:r>
        <w:rPr>
          <w:rFonts w:hint="eastAsia" w:ascii="方正仿宋_GB2312" w:hAnsi="方正仿宋_GB2312" w:eastAsia="方正仿宋_GB2312" w:cs="方正仿宋_GB2312"/>
          <w:sz w:val="21"/>
          <w:szCs w:val="21"/>
          <w:lang w:val="zh-CN"/>
        </w:rPr>
        <w:t>签订地点：</w:t>
      </w:r>
      <w:r>
        <w:rPr>
          <w:rFonts w:hint="eastAsia" w:ascii="方正仿宋_GB2312" w:hAnsi="方正仿宋_GB2312" w:eastAsia="方正仿宋_GB2312" w:cs="方正仿宋_GB2312"/>
          <w:sz w:val="21"/>
          <w:szCs w:val="21"/>
          <w:u w:val="single"/>
          <w:lang w:val="zh-CN"/>
        </w:rPr>
        <w:t>XXXXXXX公司住所地</w:t>
      </w:r>
    </w:p>
    <w:p w14:paraId="08D20234">
      <w:pPr>
        <w:autoSpaceDE w:val="0"/>
        <w:autoSpaceDN w:val="0"/>
        <w:adjustRightInd w:val="0"/>
        <w:spacing w:line="360" w:lineRule="auto"/>
        <w:ind w:firstLine="48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甲乙双方经友好协商</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sz w:val="21"/>
          <w:szCs w:val="21"/>
          <w:lang w:val="en-US" w:eastAsia="zh-CN"/>
        </w:rPr>
        <w:t>甲</w:t>
      </w:r>
      <w:r>
        <w:rPr>
          <w:rFonts w:hint="eastAsia" w:ascii="方正仿宋_GB2312" w:hAnsi="方正仿宋_GB2312" w:eastAsia="方正仿宋_GB2312" w:cs="方正仿宋_GB2312"/>
          <w:sz w:val="21"/>
          <w:szCs w:val="21"/>
          <w:lang w:val="zh-CN"/>
        </w:rPr>
        <w:t>方提供的技术要求，</w:t>
      </w:r>
      <w:r>
        <w:rPr>
          <w:rFonts w:hint="eastAsia" w:ascii="方正仿宋_GB2312" w:hAnsi="方正仿宋_GB2312" w:eastAsia="方正仿宋_GB2312" w:cs="方正仿宋_GB2312"/>
          <w:sz w:val="21"/>
          <w:szCs w:val="21"/>
          <w:lang w:val="en-US" w:eastAsia="zh-CN"/>
        </w:rPr>
        <w:t>乙方按要求供货</w:t>
      </w:r>
      <w:r>
        <w:rPr>
          <w:rFonts w:hint="eastAsia" w:ascii="方正仿宋_GB2312" w:hAnsi="方正仿宋_GB2312" w:eastAsia="方正仿宋_GB2312" w:cs="方正仿宋_GB2312"/>
          <w:sz w:val="21"/>
          <w:szCs w:val="21"/>
          <w:lang w:val="zh-CN"/>
        </w:rPr>
        <w:t>等事宜共同签订本技术协议。</w:t>
      </w:r>
    </w:p>
    <w:p w14:paraId="4C5989D0">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1</w:t>
      </w:r>
      <w:r>
        <w:rPr>
          <w:rFonts w:hint="eastAsia" w:ascii="方正仿宋_GB2312" w:hAnsi="方正仿宋_GB2312" w:eastAsia="方正仿宋_GB2312" w:cs="方正仿宋_GB2312"/>
          <w:sz w:val="21"/>
          <w:szCs w:val="21"/>
          <w:lang w:val="zh-CN"/>
        </w:rPr>
        <w:t>适用范围</w:t>
      </w:r>
    </w:p>
    <w:p w14:paraId="24EA7E82">
      <w:pPr>
        <w:autoSpaceDE w:val="0"/>
        <w:autoSpaceDN w:val="0"/>
        <w:adjustRightInd w:val="0"/>
        <w:spacing w:line="360" w:lineRule="auto"/>
        <w:ind w:firstLine="36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本技术协议适用于</w:t>
      </w:r>
      <w:r>
        <w:rPr>
          <w:rFonts w:hint="eastAsia" w:ascii="方正仿宋_GB2312" w:hAnsi="方正仿宋_GB2312" w:eastAsia="方正仿宋_GB2312" w:cs="方正仿宋_GB2312"/>
          <w:sz w:val="21"/>
          <w:szCs w:val="21"/>
          <w:lang w:val="en-US" w:eastAsia="zh-CN"/>
        </w:rPr>
        <w:t>乙</w:t>
      </w:r>
      <w:r>
        <w:rPr>
          <w:rFonts w:hint="eastAsia" w:ascii="方正仿宋_GB2312" w:hAnsi="方正仿宋_GB2312" w:eastAsia="方正仿宋_GB2312" w:cs="方正仿宋_GB2312"/>
          <w:sz w:val="21"/>
          <w:szCs w:val="21"/>
          <w:lang w:val="zh-CN"/>
        </w:rPr>
        <w:t>方生产的</w:t>
      </w:r>
      <w:r>
        <w:rPr>
          <w:rFonts w:hint="eastAsia" w:ascii="方正仿宋_GB2312" w:hAnsi="方正仿宋_GB2312" w:eastAsia="方正仿宋_GB2312" w:cs="方正仿宋_GB2312"/>
          <w:sz w:val="21"/>
          <w:szCs w:val="21"/>
          <w:lang w:val="en-US" w:eastAsia="zh-CN"/>
        </w:rPr>
        <w:t>GEA轮罩内附注塑件</w:t>
      </w:r>
      <w:r>
        <w:rPr>
          <w:rFonts w:hint="eastAsia" w:ascii="方正仿宋_GB2312" w:hAnsi="方正仿宋_GB2312" w:eastAsia="方正仿宋_GB2312" w:cs="方正仿宋_GB2312"/>
          <w:sz w:val="21"/>
          <w:szCs w:val="21"/>
          <w:lang w:val="zh-CN"/>
        </w:rPr>
        <w:t>）</w:t>
      </w:r>
    </w:p>
    <w:p w14:paraId="52D16C4C">
      <w:pPr>
        <w:autoSpaceDE w:val="0"/>
        <w:autoSpaceDN w:val="0"/>
        <w:adjustRightInd w:val="0"/>
        <w:spacing w:line="360" w:lineRule="auto"/>
        <w:ind w:firstLine="478"/>
        <w:rPr>
          <w:rFonts w:hint="eastAsia" w:ascii="方正仿宋_GB2312" w:hAnsi="方正仿宋_GB2312" w:eastAsia="方正仿宋_GB2312" w:cs="方正仿宋_GB2312"/>
          <w:color w:val="0000FF"/>
          <w:sz w:val="21"/>
          <w:szCs w:val="21"/>
        </w:rPr>
      </w:pPr>
      <w:r>
        <w:rPr>
          <w:rFonts w:hint="eastAsia" w:ascii="方正仿宋_GB2312" w:hAnsi="方正仿宋_GB2312" w:eastAsia="方正仿宋_GB2312" w:cs="方正仿宋_GB2312"/>
          <w:sz w:val="21"/>
          <w:szCs w:val="21"/>
          <w:lang w:val="zh-CN"/>
        </w:rPr>
        <w:t>注塑粒子牌号</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color w:val="0000FF"/>
          <w:sz w:val="21"/>
          <w:szCs w:val="21"/>
          <w:lang w:val="en-US" w:eastAsia="zh-CN"/>
        </w:rPr>
        <w:t>TPV:</w:t>
      </w:r>
      <w:r>
        <w:rPr>
          <w:rFonts w:hint="eastAsia" w:ascii="方正仿宋_GB2312" w:hAnsi="方正仿宋_GB2312" w:eastAsia="方正仿宋_GB2312" w:cs="方正仿宋_GB2312"/>
          <w:color w:val="0000FF"/>
          <w:sz w:val="21"/>
          <w:szCs w:val="21"/>
        </w:rPr>
        <w:t>PMR: UB02b，UB05d;Grade: Santoprene 103-40;Supplier: CELANESE</w:t>
      </w:r>
    </w:p>
    <w:p w14:paraId="6E309C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 xml:space="preserve">2 </w:t>
      </w:r>
      <w:r>
        <w:rPr>
          <w:rFonts w:hint="eastAsia" w:ascii="方正仿宋_GB2312" w:hAnsi="方正仿宋_GB2312" w:eastAsia="方正仿宋_GB2312" w:cs="方正仿宋_GB2312"/>
          <w:sz w:val="21"/>
          <w:szCs w:val="21"/>
          <w:lang w:val="zh-CN"/>
        </w:rPr>
        <w:t>使用要求</w:t>
      </w:r>
    </w:p>
    <w:p w14:paraId="3575C0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2.1  </w:t>
      </w:r>
      <w:r>
        <w:rPr>
          <w:rFonts w:hint="eastAsia" w:ascii="方正仿宋_GB2312" w:hAnsi="方正仿宋_GB2312" w:eastAsia="方正仿宋_GB2312" w:cs="方正仿宋_GB2312"/>
          <w:sz w:val="21"/>
          <w:szCs w:val="21"/>
          <w:lang w:val="zh-CN"/>
        </w:rPr>
        <w:t>按甲方设计</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sz w:val="21"/>
          <w:szCs w:val="21"/>
          <w:lang w:val="zh-CN"/>
        </w:rPr>
        <w:t>乙方负责开模生产。</w:t>
      </w:r>
    </w:p>
    <w:p w14:paraId="73F0E3CB">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2.2  特殊要求应符合供需双方协商确定的批准封样或样板要求。</w:t>
      </w:r>
    </w:p>
    <w:p w14:paraId="33A5582E">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2.3  产品尺寸按产品2D和3D要求，具体见零件号（</w:t>
      </w:r>
      <w:r>
        <w:rPr>
          <w:rFonts w:hint="eastAsia" w:ascii="方正仿宋_GB2312" w:hAnsi="方正仿宋_GB2312" w:eastAsia="方正仿宋_GB2312" w:cs="方正仿宋_GB2312"/>
          <w:sz w:val="21"/>
          <w:szCs w:val="21"/>
          <w:lang w:val="en-US" w:eastAsia="zh-CN"/>
        </w:rPr>
        <w:t>******</w:t>
      </w:r>
      <w:r>
        <w:rPr>
          <w:rFonts w:hint="eastAsia" w:ascii="方正仿宋_GB2312" w:hAnsi="方正仿宋_GB2312" w:eastAsia="方正仿宋_GB2312" w:cs="方正仿宋_GB2312"/>
          <w:sz w:val="21"/>
          <w:szCs w:val="21"/>
          <w:lang w:val="zh-CN"/>
        </w:rPr>
        <w:t>）</w:t>
      </w:r>
    </w:p>
    <w:p w14:paraId="3B1BEB7C">
      <w:pPr>
        <w:autoSpaceDE w:val="0"/>
        <w:autoSpaceDN w:val="0"/>
        <w:adjustRightInd w:val="0"/>
        <w:spacing w:line="360" w:lineRule="auto"/>
        <w:rPr>
          <w:rFonts w:hint="default"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2.4  模具开发配置要求</w:t>
      </w:r>
    </w:p>
    <w:p w14:paraId="386EE937">
      <w:pPr>
        <w:autoSpaceDE w:val="0"/>
        <w:autoSpaceDN w:val="0"/>
        <w:adjustRightInd w:val="0"/>
        <w:spacing w:line="360" w:lineRule="auto"/>
        <w:rPr>
          <w:rFonts w:hint="default" w:ascii="方正仿宋_GB2312" w:hAnsi="方正仿宋_GB2312" w:eastAsia="方正仿宋_GB2312" w:cs="方正仿宋_GB2312"/>
          <w:color w:val="FF0000"/>
          <w:sz w:val="21"/>
          <w:szCs w:val="21"/>
          <w:lang w:val="en-US" w:eastAsia="zh-CN"/>
        </w:rPr>
      </w:pPr>
      <w:r>
        <w:rPr>
          <w:rFonts w:hint="eastAsia" w:ascii="方正仿宋_GB2312" w:hAnsi="方正仿宋_GB2312" w:eastAsia="方正仿宋_GB2312" w:cs="方正仿宋_GB2312"/>
          <w:color w:val="FF0000"/>
          <w:sz w:val="21"/>
          <w:szCs w:val="21"/>
          <w:lang w:val="en-US" w:eastAsia="zh-CN"/>
        </w:rPr>
        <w:t xml:space="preserve">产品1.配置1 </w:t>
      </w:r>
      <w:r>
        <w:rPr>
          <w:rFonts w:hint="eastAsia" w:ascii="方正仿宋_GB2312" w:hAnsi="方正仿宋_GB2312" w:eastAsia="方正仿宋_GB2312" w:cs="方正仿宋_GB2312"/>
          <w:color w:val="FF0000"/>
          <w:sz w:val="21"/>
          <w:szCs w:val="21"/>
          <w:lang w:val="zh-CN"/>
        </w:rPr>
        <w:t>气坝前左(PHEV&amp;HEV)</w:t>
      </w:r>
      <w:r>
        <w:rPr>
          <w:rFonts w:hint="eastAsia" w:ascii="方正仿宋_GB2312" w:hAnsi="方正仿宋_GB2312" w:eastAsia="方正仿宋_GB2312" w:cs="方正仿宋_GB2312"/>
          <w:color w:val="FF0000"/>
          <w:sz w:val="21"/>
          <w:szCs w:val="21"/>
          <w:lang w:val="en-US" w:eastAsia="zh-CN"/>
        </w:rPr>
        <w:t>+</w:t>
      </w:r>
      <w:r>
        <w:rPr>
          <w:rFonts w:hint="eastAsia" w:ascii="方正仿宋_GB2312" w:hAnsi="方正仿宋_GB2312" w:eastAsia="方正仿宋_GB2312" w:cs="方正仿宋_GB2312"/>
          <w:color w:val="FF0000"/>
          <w:sz w:val="21"/>
          <w:szCs w:val="21"/>
          <w:lang w:val="zh-CN"/>
        </w:rPr>
        <w:t>气坝前右(PHEV&amp;HEV)</w:t>
      </w:r>
      <w:r>
        <w:rPr>
          <w:rFonts w:hint="eastAsia" w:ascii="方正仿宋_GB2312" w:hAnsi="方正仿宋_GB2312" w:eastAsia="方正仿宋_GB2312" w:cs="方正仿宋_GB2312"/>
          <w:color w:val="FF0000"/>
          <w:sz w:val="21"/>
          <w:szCs w:val="21"/>
          <w:lang w:val="en-US" w:eastAsia="zh-CN"/>
        </w:rPr>
        <w:t xml:space="preserve">//    80%，  </w:t>
      </w:r>
    </w:p>
    <w:p w14:paraId="6047B4EA">
      <w:pPr>
        <w:autoSpaceDE w:val="0"/>
        <w:autoSpaceDN w:val="0"/>
        <w:adjustRightInd w:val="0"/>
        <w:spacing w:line="360" w:lineRule="auto"/>
        <w:rPr>
          <w:rFonts w:hint="eastAsia"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 xml:space="preserve">产品1 配置2 </w:t>
      </w:r>
      <w:r>
        <w:rPr>
          <w:rFonts w:hint="eastAsia" w:ascii="方正仿宋_GB2312" w:hAnsi="方正仿宋_GB2312" w:eastAsia="方正仿宋_GB2312" w:cs="方正仿宋_GB2312"/>
          <w:color w:val="0000FF"/>
          <w:sz w:val="21"/>
          <w:szCs w:val="21"/>
          <w:lang w:val="zh-CN"/>
        </w:rPr>
        <w:t>气坝前左(BEV)</w:t>
      </w:r>
      <w:r>
        <w:rPr>
          <w:rFonts w:hint="eastAsia" w:ascii="方正仿宋_GB2312" w:hAnsi="方正仿宋_GB2312" w:eastAsia="方正仿宋_GB2312" w:cs="方正仿宋_GB2312"/>
          <w:color w:val="0000FF"/>
          <w:sz w:val="21"/>
          <w:szCs w:val="21"/>
          <w:lang w:val="en-US" w:eastAsia="zh-CN"/>
        </w:rPr>
        <w:t>+</w:t>
      </w:r>
      <w:r>
        <w:rPr>
          <w:rFonts w:hint="eastAsia" w:ascii="方正仿宋_GB2312" w:hAnsi="方正仿宋_GB2312" w:eastAsia="方正仿宋_GB2312" w:cs="方正仿宋_GB2312"/>
          <w:color w:val="0000FF"/>
          <w:sz w:val="21"/>
          <w:szCs w:val="21"/>
          <w:lang w:val="zh-CN"/>
        </w:rPr>
        <w:t>气坝前右(BEV)</w:t>
      </w:r>
      <w:r>
        <w:rPr>
          <w:rFonts w:hint="eastAsia" w:ascii="方正仿宋_GB2312" w:hAnsi="方正仿宋_GB2312" w:eastAsia="方正仿宋_GB2312" w:cs="方正仿宋_GB2312"/>
          <w:color w:val="0000FF"/>
          <w:sz w:val="21"/>
          <w:szCs w:val="21"/>
          <w:lang w:val="en-US" w:eastAsia="zh-CN"/>
        </w:rPr>
        <w:t>//              20%，</w:t>
      </w:r>
    </w:p>
    <w:p w14:paraId="4FCE6E0D">
      <w:pPr>
        <w:autoSpaceDE w:val="0"/>
        <w:autoSpaceDN w:val="0"/>
        <w:adjustRightInd w:val="0"/>
        <w:spacing w:line="360" w:lineRule="auto"/>
        <w:ind w:firstLine="210" w:firstLineChars="100"/>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 xml:space="preserve">                                             1+1，一副模具    8年需求 62万套</w:t>
      </w:r>
    </w:p>
    <w:p w14:paraId="5BDFF60D">
      <w:pPr>
        <w:autoSpaceDE w:val="0"/>
        <w:autoSpaceDN w:val="0"/>
        <w:adjustRightInd w:val="0"/>
        <w:spacing w:line="360" w:lineRule="auto"/>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产品2，气坝后左+气坝后右                       1+1，一副模具    8年需求 62万套</w:t>
      </w:r>
    </w:p>
    <w:p w14:paraId="6C4D80AF">
      <w:pPr>
        <w:autoSpaceDE w:val="0"/>
        <w:autoSpaceDN w:val="0"/>
        <w:adjustRightInd w:val="0"/>
        <w:spacing w:line="360" w:lineRule="auto"/>
        <w:rPr>
          <w:rFonts w:hint="default" w:ascii="方正仿宋_GB2312" w:hAnsi="方正仿宋_GB2312" w:eastAsia="方正仿宋_GB2312" w:cs="方正仿宋_GB2312"/>
          <w:sz w:val="21"/>
          <w:szCs w:val="21"/>
          <w:lang w:val="en-US"/>
        </w:rPr>
      </w:pPr>
      <w:r>
        <w:rPr>
          <w:rFonts w:hint="eastAsia" w:ascii="方正仿宋_GB2312" w:hAnsi="方正仿宋_GB2312" w:eastAsia="方正仿宋_GB2312" w:cs="方正仿宋_GB2312"/>
          <w:sz w:val="21"/>
          <w:szCs w:val="21"/>
          <w:lang w:val="zh-CN"/>
        </w:rPr>
        <w:t>共</w:t>
      </w:r>
      <w:r>
        <w:rPr>
          <w:rFonts w:hint="eastAsia" w:ascii="方正仿宋_GB2312" w:hAnsi="方正仿宋_GB2312" w:eastAsia="方正仿宋_GB2312" w:cs="方正仿宋_GB2312"/>
          <w:sz w:val="21"/>
          <w:szCs w:val="21"/>
          <w:lang w:val="en-US" w:eastAsia="zh-CN"/>
        </w:rPr>
        <w:t>4</w:t>
      </w:r>
      <w:r>
        <w:rPr>
          <w:rFonts w:hint="eastAsia" w:ascii="方正仿宋_GB2312" w:hAnsi="方正仿宋_GB2312" w:eastAsia="方正仿宋_GB2312" w:cs="方正仿宋_GB2312"/>
          <w:sz w:val="21"/>
          <w:szCs w:val="21"/>
          <w:lang w:val="zh-CN"/>
        </w:rPr>
        <w:t>款零件，</w:t>
      </w:r>
      <w:r>
        <w:rPr>
          <w:rFonts w:hint="eastAsia" w:ascii="方正仿宋_GB2312" w:hAnsi="方正仿宋_GB2312" w:eastAsia="方正仿宋_GB2312" w:cs="方正仿宋_GB2312"/>
          <w:sz w:val="21"/>
          <w:szCs w:val="21"/>
          <w:lang w:val="en-US" w:eastAsia="zh-CN"/>
        </w:rPr>
        <w:t>预计设定2副模具，</w:t>
      </w:r>
    </w:p>
    <w:p w14:paraId="1D8CE4E4">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b/>
          <w:bCs/>
          <w:sz w:val="21"/>
          <w:szCs w:val="21"/>
          <w:lang w:val="zh-CN"/>
        </w:rPr>
        <w:t>3</w:t>
      </w:r>
      <w:r>
        <w:rPr>
          <w:rFonts w:hint="eastAsia" w:ascii="方正仿宋_GB2312" w:hAnsi="方正仿宋_GB2312" w:eastAsia="方正仿宋_GB2312" w:cs="方正仿宋_GB2312"/>
          <w:sz w:val="21"/>
          <w:szCs w:val="21"/>
          <w:lang w:val="zh-CN"/>
        </w:rPr>
        <w:t xml:space="preserve"> 技术要求</w:t>
      </w:r>
    </w:p>
    <w:p w14:paraId="35BBB5A5">
      <w:pPr>
        <w:pStyle w:val="3"/>
        <w:numPr>
          <w:ilvl w:val="1"/>
          <w:numId w:val="0"/>
        </w:numPr>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3.1</w:t>
      </w:r>
      <w:bookmarkStart w:id="0" w:name="_Toc22214"/>
      <w:r>
        <w:rPr>
          <w:rFonts w:hint="eastAsia" w:ascii="方正仿宋_GB2312" w:hAnsi="方正仿宋_GB2312" w:eastAsia="方正仿宋_GB2312" w:cs="方正仿宋_GB2312"/>
          <w:sz w:val="21"/>
          <w:szCs w:val="21"/>
        </w:rPr>
        <w:t>.产品应用技术参数：</w:t>
      </w:r>
      <w:bookmarkEnd w:id="0"/>
    </w:p>
    <w:p w14:paraId="1B808B1C">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①外观要求：</w:t>
      </w:r>
      <w:r>
        <w:rPr>
          <w:rFonts w:hint="eastAsia" w:ascii="方正仿宋_GB2312" w:hAnsi="方正仿宋_GB2312" w:eastAsia="方正仿宋_GB2312" w:cs="方正仿宋_GB2312"/>
          <w:sz w:val="21"/>
          <w:szCs w:val="21"/>
          <w:shd w:val="clear" w:color="auto" w:fill="FFFFFF"/>
        </w:rPr>
        <w:br w:type="textWrapping"/>
      </w:r>
      <w:r>
        <w:rPr>
          <w:rFonts w:hint="eastAsia" w:ascii="方正仿宋_GB2312" w:hAnsi="方正仿宋_GB2312" w:eastAsia="方正仿宋_GB2312" w:cs="方正仿宋_GB2312"/>
          <w:sz w:val="21"/>
          <w:szCs w:val="21"/>
        </w:rPr>
        <w:t>1、表面应平整且纹理均匀细致，无缩痕、飞边、裂纹、熔接痕，分型面不应在任何可见的区域。在任何可接触的表面无尖锐的棱边。</w:t>
      </w:r>
    </w:p>
    <w:p w14:paraId="68955736">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2、</w:t>
      </w:r>
      <w:r>
        <w:rPr>
          <w:rFonts w:hint="eastAsia" w:ascii="方正仿宋_GB2312" w:hAnsi="方正仿宋_GB2312" w:eastAsia="方正仿宋_GB2312" w:cs="方正仿宋_GB2312"/>
          <w:sz w:val="21"/>
          <w:szCs w:val="21"/>
          <w:lang w:val="en-US" w:eastAsia="zh-CN"/>
        </w:rPr>
        <w:t>产品</w:t>
      </w:r>
      <w:r>
        <w:rPr>
          <w:rFonts w:hint="eastAsia" w:ascii="方正仿宋_GB2312" w:hAnsi="方正仿宋_GB2312" w:eastAsia="方正仿宋_GB2312" w:cs="方正仿宋_GB2312"/>
          <w:sz w:val="21"/>
          <w:szCs w:val="21"/>
        </w:rPr>
        <w:t>的颜色、色泽、纹理样式和其他可见的表面特征应符合 汽车颁发的样板。</w:t>
      </w:r>
    </w:p>
    <w:p w14:paraId="1F268497">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3、总成内部各部件之间及顶棚总成与周边件的间隙、面差需满足DTS要求。</w:t>
      </w:r>
    </w:p>
    <w:p w14:paraId="0028DEAD">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②材料</w:t>
      </w:r>
      <w:r>
        <w:rPr>
          <w:rFonts w:hint="eastAsia" w:ascii="方正仿宋_GB2312" w:hAnsi="方正仿宋_GB2312" w:eastAsia="方正仿宋_GB2312" w:cs="方正仿宋_GB2312"/>
          <w:sz w:val="21"/>
          <w:szCs w:val="21"/>
          <w:lang w:eastAsia="zh-CN"/>
        </w:rPr>
        <w:t>：</w:t>
      </w:r>
      <w:r>
        <w:rPr>
          <w:rFonts w:hint="eastAsia" w:ascii="方正仿宋_GB2312" w:hAnsi="方正仿宋_GB2312" w:eastAsia="方正仿宋_GB2312" w:cs="方正仿宋_GB2312"/>
          <w:sz w:val="21"/>
          <w:szCs w:val="21"/>
          <w:lang w:val="en-US" w:eastAsia="zh-CN"/>
        </w:rPr>
        <w:t>详见BOM</w:t>
      </w:r>
    </w:p>
    <w:p w14:paraId="78CDDE70">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③布置要求：</w:t>
      </w:r>
      <w:r>
        <w:rPr>
          <w:rFonts w:hint="eastAsia" w:ascii="方正仿宋_GB2312" w:hAnsi="方正仿宋_GB2312" w:eastAsia="方正仿宋_GB2312" w:cs="方正仿宋_GB2312"/>
          <w:sz w:val="21"/>
          <w:szCs w:val="21"/>
          <w:lang w:val="en-US" w:eastAsia="zh-CN"/>
        </w:rPr>
        <w:t>整体装配符合实验要求</w:t>
      </w:r>
    </w:p>
    <w:p w14:paraId="0CCAC8FE">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④产品尺寸： </w:t>
      </w:r>
    </w:p>
    <w:p w14:paraId="79129677">
      <w:pPr>
        <w:ind w:firstLine="0" w:firstLineChars="0"/>
        <w:rPr>
          <w:rFonts w:hint="default"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根据</w:t>
      </w:r>
      <w:r>
        <w:rPr>
          <w:rFonts w:hint="eastAsia" w:ascii="方正仿宋_GB2312" w:hAnsi="方正仿宋_GB2312" w:eastAsia="方正仿宋_GB2312" w:cs="方正仿宋_GB2312"/>
          <w:sz w:val="21"/>
          <w:szCs w:val="21"/>
          <w:lang w:val="en-US" w:eastAsia="zh-CN"/>
        </w:rPr>
        <w:t>数模设计，详见产品2D图纸，定点后2周提供</w:t>
      </w:r>
    </w:p>
    <w:p w14:paraId="5E786566">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⑤模具材质：</w:t>
      </w:r>
    </w:p>
    <w:p w14:paraId="3AA9631E">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详见&lt;&lt;LD注塑模具品质要求:模具材料&gt;&gt;</w:t>
      </w:r>
    </w:p>
    <w:p w14:paraId="4BB1A995">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⑥模具要求：</w:t>
      </w:r>
    </w:p>
    <w:p w14:paraId="711F8F9E">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详见&lt;&lt;Mold_Requirement_v48_02&gt;&gt;</w:t>
      </w:r>
    </w:p>
    <w:p w14:paraId="633BDC0A">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 </w:t>
      </w:r>
    </w:p>
    <w:p w14:paraId="5AD5F54E">
      <w:pPr>
        <w:ind w:firstLine="0" w:firstLineChars="0"/>
        <w:rPr>
          <w:rFonts w:hint="eastAsia" w:ascii="方正仿宋_GB2312" w:hAnsi="方正仿宋_GB2312" w:eastAsia="方正仿宋_GB2312" w:cs="方正仿宋_GB2312"/>
          <w:sz w:val="21"/>
          <w:szCs w:val="21"/>
        </w:rPr>
      </w:pPr>
    </w:p>
    <w:p w14:paraId="7E8BB459">
      <w:pPr>
        <w:pStyle w:val="3"/>
        <w:numPr>
          <w:ilvl w:val="1"/>
          <w:numId w:val="0"/>
        </w:numPr>
        <w:ind w:left="575" w:hanging="575"/>
        <w:rPr>
          <w:rFonts w:hint="eastAsia" w:ascii="方正仿宋_GB2312" w:hAnsi="方正仿宋_GB2312" w:eastAsia="方正仿宋_GB2312" w:cs="方正仿宋_GB2312"/>
          <w:sz w:val="21"/>
          <w:szCs w:val="21"/>
        </w:rPr>
      </w:pPr>
      <w:bookmarkStart w:id="1" w:name="_Toc14069"/>
      <w:r>
        <w:rPr>
          <w:rFonts w:hint="eastAsia" w:ascii="微软雅黑" w:hAnsi="微软雅黑" w:eastAsia="微软雅黑" w:cs="微软雅黑"/>
          <w:sz w:val="21"/>
          <w:szCs w:val="21"/>
        </w:rPr>
        <w:t>⑦</w:t>
      </w:r>
      <w:r>
        <w:rPr>
          <w:rFonts w:hint="eastAsia" w:ascii="方正仿宋_GB2312" w:hAnsi="方正仿宋_GB2312" w:eastAsia="方正仿宋_GB2312" w:cs="方正仿宋_GB2312"/>
          <w:sz w:val="21"/>
          <w:szCs w:val="21"/>
        </w:rPr>
        <w:t>造型设计：</w:t>
      </w:r>
      <w:bookmarkEnd w:id="1"/>
    </w:p>
    <w:p w14:paraId="5092B24B">
      <w:pPr>
        <w:spacing w:line="360" w:lineRule="auto"/>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参考</w:t>
      </w:r>
      <w:r>
        <w:rPr>
          <w:rFonts w:hint="eastAsia" w:ascii="方正仿宋_GB2312" w:hAnsi="方正仿宋_GB2312" w:eastAsia="方正仿宋_GB2312" w:cs="方正仿宋_GB2312"/>
          <w:sz w:val="21"/>
          <w:szCs w:val="21"/>
          <w:lang w:val="en-US" w:eastAsia="zh-CN"/>
        </w:rPr>
        <w:t>文件《注塑件3D数据》，</w:t>
      </w:r>
    </w:p>
    <w:p w14:paraId="6031270F">
      <w:pPr>
        <w:spacing w:line="360" w:lineRule="auto"/>
        <w:rPr>
          <w:rFonts w:hint="eastAsia" w:ascii="方正仿宋_GB2312" w:hAnsi="方正仿宋_GB2312" w:eastAsia="方正仿宋_GB2312" w:cs="方正仿宋_GB2312"/>
          <w:sz w:val="21"/>
          <w:szCs w:val="21"/>
          <w:lang w:val="en-US" w:eastAsia="zh-CN"/>
        </w:rPr>
      </w:pPr>
    </w:p>
    <w:p w14:paraId="04472012">
      <w:pPr>
        <w:spacing w:line="360" w:lineRule="auto"/>
        <w:rPr>
          <w:rFonts w:hint="eastAsia" w:ascii="方正仿宋_GB2312" w:hAnsi="方正仿宋_GB2312" w:eastAsia="方正仿宋_GB2312" w:cs="方正仿宋_GB2312"/>
          <w:color w:val="0000FF"/>
          <w:sz w:val="21"/>
          <w:szCs w:val="21"/>
        </w:rPr>
      </w:pPr>
      <w:r>
        <w:rPr>
          <w:rFonts w:hint="eastAsia" w:ascii="方正仿宋_GB2312" w:hAnsi="方正仿宋_GB2312" w:eastAsia="方正仿宋_GB2312" w:cs="方正仿宋_GB2312"/>
          <w:sz w:val="21"/>
          <w:szCs w:val="21"/>
          <w:lang w:val="en-US" w:eastAsia="zh-CN"/>
        </w:rPr>
        <w:t>3.2</w:t>
      </w:r>
      <w:r>
        <w:rPr>
          <w:rFonts w:hint="eastAsia" w:ascii="方正仿宋_GB2312" w:hAnsi="方正仿宋_GB2312" w:eastAsia="方正仿宋_GB2312" w:cs="方正仿宋_GB2312"/>
          <w:sz w:val="21"/>
          <w:szCs w:val="21"/>
        </w:rPr>
        <w:t>注塑</w:t>
      </w:r>
      <w:r>
        <w:rPr>
          <w:rFonts w:hint="eastAsia" w:ascii="方正仿宋_GB2312" w:hAnsi="方正仿宋_GB2312" w:eastAsia="方正仿宋_GB2312" w:cs="方正仿宋_GB2312"/>
          <w:sz w:val="21"/>
          <w:szCs w:val="21"/>
          <w:lang w:val="en-US" w:eastAsia="zh-CN"/>
        </w:rPr>
        <w:t>轮罩注塑件等</w:t>
      </w:r>
      <w:r>
        <w:rPr>
          <w:rFonts w:hint="eastAsia" w:ascii="方正仿宋_GB2312" w:hAnsi="方正仿宋_GB2312" w:eastAsia="方正仿宋_GB2312" w:cs="方正仿宋_GB2312"/>
          <w:sz w:val="21"/>
          <w:szCs w:val="21"/>
        </w:rPr>
        <w:t>成批供应,由乙方技术监督部门检验，保证符合如下技术协议，OTS样件需按照以下试验内容提供符合奔驰资质实验室报告</w:t>
      </w:r>
      <w:r>
        <w:rPr>
          <w:rFonts w:hint="eastAsia" w:ascii="方正仿宋_GB2312" w:hAnsi="方正仿宋_GB2312" w:eastAsia="方正仿宋_GB2312" w:cs="方正仿宋_GB2312"/>
          <w:color w:val="0000FF"/>
          <w:sz w:val="21"/>
          <w:szCs w:val="21"/>
        </w:rPr>
        <w:t>，</w:t>
      </w:r>
    </w:p>
    <w:p w14:paraId="7409D60F">
      <w:pPr>
        <w:spacing w:line="360" w:lineRule="auto"/>
        <w:rPr>
          <w:rFonts w:hint="eastAsia" w:ascii="方正仿宋_GB2312" w:hAnsi="方正仿宋_GB2312" w:eastAsia="方正仿宋_GB2312" w:cs="方正仿宋_GB2312"/>
          <w:color w:val="0000FF"/>
          <w:sz w:val="21"/>
          <w:szCs w:val="21"/>
        </w:rPr>
      </w:pPr>
    </w:p>
    <w:p w14:paraId="3F79D606">
      <w:pPr>
        <w:spacing w:line="360" w:lineRule="auto"/>
        <w:rPr>
          <w:rFonts w:hint="eastAsia" w:ascii="方正仿宋_GB2312" w:hAnsi="方正仿宋_GB2312" w:eastAsia="方正仿宋_GB2312" w:cs="方正仿宋_GB2312"/>
          <w:color w:val="0000FF"/>
          <w:sz w:val="21"/>
          <w:szCs w:val="21"/>
        </w:rPr>
      </w:pPr>
    </w:p>
    <w:p w14:paraId="363D213D">
      <w:pPr>
        <w:spacing w:line="360" w:lineRule="auto"/>
        <w:rPr>
          <w:rFonts w:hint="eastAsia" w:ascii="方正仿宋_GB2312" w:hAnsi="方正仿宋_GB2312" w:eastAsia="方正仿宋_GB2312" w:cs="方正仿宋_GB2312"/>
          <w:color w:val="0000FF"/>
          <w:sz w:val="21"/>
          <w:szCs w:val="21"/>
        </w:rPr>
      </w:pPr>
    </w:p>
    <w:tbl>
      <w:tblPr>
        <w:tblStyle w:val="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1558"/>
        <w:gridCol w:w="2928"/>
        <w:gridCol w:w="3447"/>
      </w:tblGrid>
      <w:tr w14:paraId="59AB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BDA763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序号</w:t>
            </w:r>
          </w:p>
        </w:tc>
        <w:tc>
          <w:tcPr>
            <w:tcW w:w="1558" w:type="dxa"/>
            <w:shd w:val="clear" w:color="auto" w:fill="D8D8D8" w:themeFill="background1" w:themeFillShade="D9"/>
            <w:vAlign w:val="center"/>
          </w:tcPr>
          <w:p w14:paraId="0E3B1FD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技术要求项目</w:t>
            </w:r>
          </w:p>
        </w:tc>
        <w:tc>
          <w:tcPr>
            <w:tcW w:w="2928" w:type="dxa"/>
            <w:shd w:val="clear" w:color="auto" w:fill="D8D8D8" w:themeFill="background1" w:themeFillShade="D9"/>
            <w:vAlign w:val="center"/>
          </w:tcPr>
          <w:p w14:paraId="63C959B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开发目标要求</w:t>
            </w:r>
          </w:p>
        </w:tc>
        <w:tc>
          <w:tcPr>
            <w:tcW w:w="3447" w:type="dxa"/>
            <w:shd w:val="clear" w:color="auto" w:fill="D8D8D8" w:themeFill="background1" w:themeFillShade="D9"/>
            <w:vAlign w:val="center"/>
          </w:tcPr>
          <w:p w14:paraId="2A66AA7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试验方法</w:t>
            </w:r>
          </w:p>
        </w:tc>
      </w:tr>
      <w:tr w14:paraId="6690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10BEA51">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w:t>
            </w:r>
          </w:p>
        </w:tc>
        <w:tc>
          <w:tcPr>
            <w:tcW w:w="1558" w:type="dxa"/>
            <w:shd w:val="clear" w:color="auto" w:fill="D8D8D8" w:themeFill="background1" w:themeFillShade="D9"/>
            <w:vAlign w:val="center"/>
          </w:tcPr>
          <w:p w14:paraId="2899643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Impact strength</w:t>
            </w:r>
          </w:p>
          <w:p w14:paraId="41A4D1E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耐冲击试验</w:t>
            </w:r>
          </w:p>
        </w:tc>
        <w:tc>
          <w:tcPr>
            <w:tcW w:w="2928" w:type="dxa"/>
            <w:shd w:val="clear" w:color="auto" w:fill="D8D8D8" w:themeFill="background1" w:themeFillShade="D9"/>
            <w:vAlign w:val="center"/>
          </w:tcPr>
          <w:p w14:paraId="1BC2CD0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无裂纹；主层/次层无起泡或剥落迹象；无拆卸声、吱嘎声及 rattling 声；必须对主要功能部件进行功能检测并完成相关记录。</w:t>
            </w:r>
          </w:p>
          <w:p w14:paraId="7B5123D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符合约定的公差要求</w:t>
            </w:r>
          </w:p>
        </w:tc>
        <w:tc>
          <w:tcPr>
            <w:tcW w:w="3447" w:type="dxa"/>
            <w:shd w:val="clear" w:color="auto" w:fill="D8D8D8" w:themeFill="background1" w:themeFillShade="D9"/>
            <w:vAlign w:val="center"/>
          </w:tcPr>
          <w:p w14:paraId="0913081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汽车外部，低于侧饰（5±0.5）J的冲击能量用1000g钢球。</w:t>
            </w:r>
          </w:p>
          <w:p w14:paraId="0BF2976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在（-40±）3ºC温度下对测试对象进行调理至少4小时后，应在该温度下进行测试。在-40℃时，不允许有碎裂，冲击后部件应功能齐全。</w:t>
            </w:r>
          </w:p>
        </w:tc>
      </w:tr>
      <w:tr w14:paraId="0E8A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171277EC">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2</w:t>
            </w:r>
          </w:p>
        </w:tc>
        <w:tc>
          <w:tcPr>
            <w:tcW w:w="1558" w:type="dxa"/>
            <w:shd w:val="clear" w:color="auto" w:fill="D8D8D8" w:themeFill="background1" w:themeFillShade="D9"/>
            <w:vAlign w:val="center"/>
          </w:tcPr>
          <w:p w14:paraId="23906DB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Short term heat test</w:t>
            </w:r>
          </w:p>
          <w:p w14:paraId="2941D3A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短周期高温试验</w:t>
            </w:r>
          </w:p>
        </w:tc>
        <w:tc>
          <w:tcPr>
            <w:tcW w:w="2928" w:type="dxa"/>
            <w:shd w:val="clear" w:color="auto" w:fill="D8D8D8" w:themeFill="background1" w:themeFillShade="D9"/>
            <w:vAlign w:val="center"/>
          </w:tcPr>
          <w:p w14:paraId="4AEA9A4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Inspection is to be made immediately and after at least 3 h after removal from oven.</w:t>
            </w:r>
          </w:p>
          <w:p w14:paraId="797E191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No change or visible changes of </w:t>
            </w:r>
          </w:p>
          <w:p w14:paraId="37ECD34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Appearance or color</w:t>
            </w:r>
          </w:p>
          <w:p w14:paraId="2DB865A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No odor</w:t>
            </w:r>
          </w:p>
          <w:p w14:paraId="05B979B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Deformation: No value higher than grade 1 may be accepted as defined by VCS 1026,1122</w:t>
            </w:r>
          </w:p>
          <w:p w14:paraId="0B6EEC4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cracks </w:t>
            </w:r>
          </w:p>
          <w:p w14:paraId="5FEA00B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signs of blistering or flaking of main layer / sub layer </w:t>
            </w:r>
          </w:p>
          <w:p w14:paraId="30E7228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dismantling, squeak and rattle </w:t>
            </w:r>
          </w:p>
          <w:p w14:paraId="312A15B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For main function parts function</w:t>
            </w:r>
          </w:p>
        </w:tc>
        <w:tc>
          <w:tcPr>
            <w:tcW w:w="3447" w:type="dxa"/>
            <w:shd w:val="clear" w:color="auto" w:fill="D8D8D8" w:themeFill="background1" w:themeFillShade="D9"/>
            <w:vAlign w:val="center"/>
          </w:tcPr>
          <w:p w14:paraId="71EE7D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test refers to complete parts assembled as in a vehicle.</w:t>
            </w:r>
          </w:p>
          <w:p w14:paraId="4B62F7F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NB: All instances when an exterior part cannot withstand at least 2h of 95ºC must be logged and reported to Manufacturing (due to possible paint touch up consequences).</w:t>
            </w:r>
          </w:p>
          <w:p w14:paraId="3EA9B6F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Oven ageing with air circulation according to SS-ISO 188 (3-10 times/hour).</w:t>
            </w:r>
          </w:p>
          <w:p w14:paraId="205B470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All parts below waistline and vertical surfaces above waistline: Ageing time 2 h at (95 ±2)ºC.Parts above waistline with a significant horizontal surface: Ageing time 6h at (95 ±)ºC in a heat chamber.</w:t>
            </w:r>
          </w:p>
          <w:p w14:paraId="732CF05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Should the component during usage, under any circumstances, be exposed to higherpeak temperatures then the above mentioned temperature, the ageing temperature should be exchanged to the real peak temperature. </w:t>
            </w:r>
          </w:p>
        </w:tc>
      </w:tr>
      <w:tr w14:paraId="4A86D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7E756BE1">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3</w:t>
            </w:r>
          </w:p>
        </w:tc>
        <w:tc>
          <w:tcPr>
            <w:tcW w:w="1558" w:type="dxa"/>
            <w:shd w:val="clear" w:color="auto" w:fill="D8D8D8" w:themeFill="background1" w:themeFillShade="D9"/>
            <w:vAlign w:val="center"/>
          </w:tcPr>
          <w:p w14:paraId="1E34047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Long term heat ageing test</w:t>
            </w:r>
          </w:p>
          <w:p w14:paraId="475AA73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长周期高温试验</w:t>
            </w:r>
          </w:p>
        </w:tc>
        <w:tc>
          <w:tcPr>
            <w:tcW w:w="2928" w:type="dxa"/>
            <w:shd w:val="clear" w:color="auto" w:fill="D8D8D8" w:themeFill="background1" w:themeFillShade="D9"/>
            <w:vAlign w:val="center"/>
          </w:tcPr>
          <w:p w14:paraId="0143162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Requirements in item, “Impact strength at low temperature”, must be met after “Long term heat ageing test”.</w:t>
            </w:r>
          </w:p>
          <w:p w14:paraId="1CA338C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change or visible changes of </w:t>
            </w:r>
          </w:p>
          <w:p w14:paraId="02E2645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appearance or color</w:t>
            </w:r>
          </w:p>
          <w:p w14:paraId="40E164C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no odor</w:t>
            </w:r>
          </w:p>
          <w:p w14:paraId="2E18DC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deformation: No value higher than grade 1 may be accepted as defined by VCS 1026,1122</w:t>
            </w:r>
          </w:p>
          <w:p w14:paraId="2838A23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cracks </w:t>
            </w:r>
          </w:p>
          <w:p w14:paraId="4DF24FF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signs of blistering or flaking of main layer / sub layer </w:t>
            </w:r>
          </w:p>
          <w:p w14:paraId="58D368E5">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dismantling, squeak and rattle </w:t>
            </w:r>
          </w:p>
          <w:p w14:paraId="7A57F0C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for main function parts function</w:t>
            </w:r>
          </w:p>
        </w:tc>
        <w:tc>
          <w:tcPr>
            <w:tcW w:w="3447" w:type="dxa"/>
            <w:shd w:val="clear" w:color="auto" w:fill="D8D8D8" w:themeFill="background1" w:themeFillShade="D9"/>
            <w:vAlign w:val="center"/>
          </w:tcPr>
          <w:p w14:paraId="302D3AE5">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test refers to complete parts assembled as in a vehicle.Oven ageing with air circulation according to SS-ISO 188 (3-10 times/hour). Ageing conditions: (80 ± 2)° C for 1000 h (components mounted vertically) or 2 000 h (components mounted horizontally) in a heating chamber, equivalent to 2 years in Arizona climate. Remark: If the chosen materials have sufficient temperature stability (as evaluated by Geely Materials Centre),</w:t>
            </w:r>
          </w:p>
          <w:p w14:paraId="1C38689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ageing can be performed at 10 °C higher temperature using half the above stated test durations.</w:t>
            </w:r>
          </w:p>
        </w:tc>
      </w:tr>
      <w:tr w14:paraId="0C08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926A732">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4</w:t>
            </w:r>
          </w:p>
        </w:tc>
        <w:tc>
          <w:tcPr>
            <w:tcW w:w="1558" w:type="dxa"/>
            <w:shd w:val="clear" w:color="auto" w:fill="D8D8D8" w:themeFill="background1" w:themeFillShade="D9"/>
            <w:vAlign w:val="center"/>
          </w:tcPr>
          <w:p w14:paraId="1BFABC2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Humidity aging resistance</w:t>
            </w:r>
          </w:p>
          <w:p w14:paraId="18E565A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耐湿老化</w:t>
            </w:r>
          </w:p>
        </w:tc>
        <w:tc>
          <w:tcPr>
            <w:tcW w:w="2928" w:type="dxa"/>
            <w:shd w:val="clear" w:color="auto" w:fill="D8D8D8" w:themeFill="background1" w:themeFillShade="D9"/>
            <w:vAlign w:val="center"/>
          </w:tcPr>
          <w:p w14:paraId="112C916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结果应按照ISO 6270-2标准进行评估——无裂纹；主层/次层无水疱或剥落迹象。</w:t>
            </w:r>
          </w:p>
        </w:tc>
        <w:tc>
          <w:tcPr>
            <w:tcW w:w="3447" w:type="dxa"/>
            <w:shd w:val="clear" w:color="auto" w:fill="D8D8D8" w:themeFill="background1" w:themeFillShade="D9"/>
            <w:vAlign w:val="center"/>
          </w:tcPr>
          <w:p w14:paraId="524557B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ISO 6270-1</w:t>
            </w:r>
          </w:p>
        </w:tc>
      </w:tr>
      <w:tr w14:paraId="7D26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E581BA0">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5</w:t>
            </w:r>
          </w:p>
        </w:tc>
        <w:tc>
          <w:tcPr>
            <w:tcW w:w="1558" w:type="dxa"/>
            <w:shd w:val="clear" w:color="auto" w:fill="D8D8D8" w:themeFill="background1" w:themeFillShade="D9"/>
            <w:vAlign w:val="center"/>
          </w:tcPr>
          <w:p w14:paraId="451956F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Moisture resistance in tropical cabin</w:t>
            </w:r>
          </w:p>
          <w:p w14:paraId="7C3513D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防潮性能</w:t>
            </w:r>
          </w:p>
        </w:tc>
        <w:tc>
          <w:tcPr>
            <w:tcW w:w="2928" w:type="dxa"/>
            <w:shd w:val="clear" w:color="auto" w:fill="D8D8D8" w:themeFill="background1" w:themeFillShade="D9"/>
            <w:vAlign w:val="center"/>
          </w:tcPr>
          <w:p w14:paraId="63D303A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无明显变化（如波纹、变形等）；根据STD 1026,82019标准，色变要求为灰度等级4级；轮拱衬垫不得从固定部位脱落；塑料衬垫与织物之间无分离现象；不允许出现可见的真菌生长。</w:t>
            </w:r>
          </w:p>
        </w:tc>
        <w:tc>
          <w:tcPr>
            <w:tcW w:w="3447" w:type="dxa"/>
            <w:shd w:val="clear" w:color="auto" w:fill="D8D8D8" w:themeFill="background1" w:themeFillShade="D9"/>
            <w:vAlign w:val="center"/>
          </w:tcPr>
          <w:p w14:paraId="15ED9B2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将按照车辆标准安装完整的轮拱衬套，并在 (±38±2)℃ 和95%相对湿度条件下持续运行1000小时。</w:t>
            </w:r>
          </w:p>
        </w:tc>
      </w:tr>
      <w:tr w14:paraId="0196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5CBCA8DC">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6</w:t>
            </w:r>
          </w:p>
        </w:tc>
        <w:tc>
          <w:tcPr>
            <w:tcW w:w="1558" w:type="dxa"/>
            <w:shd w:val="clear" w:color="auto" w:fill="D8D8D8" w:themeFill="background1" w:themeFillShade="D9"/>
            <w:vAlign w:val="center"/>
          </w:tcPr>
          <w:p w14:paraId="4D0F841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Climate change test</w:t>
            </w:r>
          </w:p>
          <w:p w14:paraId="166BA4A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环境循环</w:t>
            </w:r>
          </w:p>
        </w:tc>
        <w:tc>
          <w:tcPr>
            <w:tcW w:w="2928" w:type="dxa"/>
            <w:shd w:val="clear" w:color="auto" w:fill="D8D8D8" w:themeFill="background1" w:themeFillShade="D9"/>
            <w:vAlign w:val="center"/>
          </w:tcPr>
          <w:p w14:paraId="02CCF03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Visible changes are not permitted.</w:t>
            </w:r>
          </w:p>
        </w:tc>
        <w:tc>
          <w:tcPr>
            <w:tcW w:w="3447" w:type="dxa"/>
            <w:shd w:val="clear" w:color="auto" w:fill="D8D8D8" w:themeFill="background1" w:themeFillShade="D9"/>
            <w:vAlign w:val="center"/>
          </w:tcPr>
          <w:p w14:paraId="0835745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QCT15-1992</w:t>
            </w:r>
          </w:p>
          <w:p w14:paraId="063C2F2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 15-1992 5.1  按照（（70±2）℃放置15.5h → 室温23℃ 0.5h→-30℃放置7.5h → 室温23℃ 0.5h）为一个循环，共进行240h</w:t>
            </w:r>
          </w:p>
          <w:p w14:paraId="15288D0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 15-1992 Follow (（70 ± 2） ℃ for 15.5h → room temperature 23 ℃ 0.5h → -30 ℃ for 7.5h → room temperature 23 ℃ 0.5h) as a cycle, a total of 240h                   制品经过冷热交变试验检查其状态            The product undergoes cold and hot alternation experiments to check its condition.</w:t>
            </w:r>
          </w:p>
        </w:tc>
      </w:tr>
      <w:tr w14:paraId="3602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59A7BEAB">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7</w:t>
            </w:r>
          </w:p>
        </w:tc>
        <w:tc>
          <w:tcPr>
            <w:tcW w:w="1558" w:type="dxa"/>
            <w:shd w:val="clear" w:color="auto" w:fill="D8D8D8" w:themeFill="background1" w:themeFillShade="D9"/>
            <w:vAlign w:val="center"/>
          </w:tcPr>
          <w:p w14:paraId="3059B45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Chemical resistance</w:t>
            </w:r>
          </w:p>
          <w:p w14:paraId="2C7C149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耐化学性</w:t>
            </w:r>
          </w:p>
        </w:tc>
        <w:tc>
          <w:tcPr>
            <w:tcW w:w="2928" w:type="dxa"/>
            <w:shd w:val="clear" w:color="auto" w:fill="D8D8D8" w:themeFill="background1" w:themeFillShade="D9"/>
            <w:vAlign w:val="center"/>
          </w:tcPr>
          <w:p w14:paraId="241BF29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Test specimens immersed in each solvent for 4h should </w:t>
            </w:r>
          </w:p>
          <w:p w14:paraId="7466A0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not dissolve, become sticky or delaminate</w:t>
            </w:r>
          </w:p>
        </w:tc>
        <w:tc>
          <w:tcPr>
            <w:tcW w:w="3447" w:type="dxa"/>
            <w:shd w:val="clear" w:color="auto" w:fill="D8D8D8" w:themeFill="background1" w:themeFillShade="D9"/>
            <w:vAlign w:val="center"/>
          </w:tcPr>
          <w:p w14:paraId="1C998E4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ASTM D896， Each solvent test should use independent samples. Please pay attention to safety </w:t>
            </w:r>
          </w:p>
          <w:p w14:paraId="50B83E4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precautions when handling hot and flammable liquids.</w:t>
            </w:r>
          </w:p>
          <w:p w14:paraId="7EB146E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Test reagents: 92 # gasoline, 0 # diesel, antifreeze, engine oil, deionized water, 35% concentrated </w:t>
            </w:r>
          </w:p>
          <w:p w14:paraId="2C9A411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sulfuric acid (simulating battery acidic corrosion liquid), brake fluid (DOT3 or DOT4).</w:t>
            </w:r>
          </w:p>
        </w:tc>
      </w:tr>
      <w:tr w14:paraId="0A64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5A99FCBC">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8</w:t>
            </w:r>
          </w:p>
        </w:tc>
        <w:tc>
          <w:tcPr>
            <w:tcW w:w="1558" w:type="dxa"/>
            <w:shd w:val="clear" w:color="auto" w:fill="D8D8D8" w:themeFill="background1" w:themeFillShade="D9"/>
            <w:vAlign w:val="center"/>
          </w:tcPr>
          <w:p w14:paraId="323C7A4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Wear resistance </w:t>
            </w:r>
          </w:p>
          <w:p w14:paraId="0341203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with stee</w:t>
            </w:r>
          </w:p>
          <w:p w14:paraId="19199B9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与钢的耐磨性能</w:t>
            </w:r>
          </w:p>
        </w:tc>
        <w:tc>
          <w:tcPr>
            <w:tcW w:w="2928" w:type="dxa"/>
            <w:shd w:val="clear" w:color="auto" w:fill="D8D8D8" w:themeFill="background1" w:themeFillShade="D9"/>
            <w:vAlign w:val="center"/>
          </w:tcPr>
          <w:p w14:paraId="472BB9D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Minimum level 4</w:t>
            </w:r>
          </w:p>
        </w:tc>
        <w:tc>
          <w:tcPr>
            <w:tcW w:w="3447" w:type="dxa"/>
            <w:shd w:val="clear" w:color="auto" w:fill="D8D8D8" w:themeFill="background1" w:themeFillShade="D9"/>
            <w:vAlign w:val="center"/>
          </w:tcPr>
          <w:p w14:paraId="65473A3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Carry out according to SAE J1389</w:t>
            </w:r>
          </w:p>
        </w:tc>
      </w:tr>
      <w:tr w14:paraId="7364E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64E9D6D">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9</w:t>
            </w:r>
          </w:p>
        </w:tc>
        <w:tc>
          <w:tcPr>
            <w:tcW w:w="1558" w:type="dxa"/>
            <w:shd w:val="clear" w:color="auto" w:fill="D8D8D8" w:themeFill="background1" w:themeFillShade="D9"/>
            <w:vAlign w:val="center"/>
          </w:tcPr>
          <w:p w14:paraId="5845F94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Stiffness</w:t>
            </w:r>
          </w:p>
          <w:p w14:paraId="78034D1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刚度</w:t>
            </w:r>
          </w:p>
        </w:tc>
        <w:tc>
          <w:tcPr>
            <w:tcW w:w="2928" w:type="dxa"/>
            <w:shd w:val="clear" w:color="auto" w:fill="D8D8D8" w:themeFill="background1" w:themeFillShade="D9"/>
            <w:vAlign w:val="center"/>
          </w:tcPr>
          <w:p w14:paraId="0F526EF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Crosswise:≥3500N/mm</w:t>
            </w:r>
          </w:p>
          <w:p w14:paraId="7B16CCD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Longitudinal:≥4000N/mm</w:t>
            </w:r>
          </w:p>
        </w:tc>
        <w:tc>
          <w:tcPr>
            <w:tcW w:w="3447" w:type="dxa"/>
            <w:shd w:val="clear" w:color="auto" w:fill="D8D8D8" w:themeFill="background1" w:themeFillShade="D9"/>
            <w:vAlign w:val="center"/>
          </w:tcPr>
          <w:p w14:paraId="7CC63F5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Determined according to DIN 53350.The size of the specimens should be20mm*100mm with a thickness of 2mm and the bending length should be 40mm.The amount of energy should be 300mj and the bending angle should be 30℃.The specimen should fulfil the demand no matter where on the part the specimen is taken </w:t>
            </w:r>
          </w:p>
        </w:tc>
      </w:tr>
      <w:tr w14:paraId="45C4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D1C583F">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10</w:t>
            </w:r>
          </w:p>
        </w:tc>
        <w:tc>
          <w:tcPr>
            <w:tcW w:w="1558" w:type="dxa"/>
            <w:shd w:val="clear" w:color="auto" w:fill="D8D8D8" w:themeFill="background1" w:themeFillShade="D9"/>
            <w:vAlign w:val="center"/>
          </w:tcPr>
          <w:p w14:paraId="014B16D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Fungus resistance</w:t>
            </w:r>
          </w:p>
          <w:p w14:paraId="647B4EA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抗霉性</w:t>
            </w:r>
          </w:p>
        </w:tc>
        <w:tc>
          <w:tcPr>
            <w:tcW w:w="2928" w:type="dxa"/>
            <w:shd w:val="clear" w:color="auto" w:fill="D8D8D8" w:themeFill="background1" w:themeFillShade="D9"/>
            <w:vAlign w:val="center"/>
          </w:tcPr>
          <w:p w14:paraId="1BB9750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 visible growth of fungus</w:t>
            </w:r>
          </w:p>
        </w:tc>
        <w:tc>
          <w:tcPr>
            <w:tcW w:w="3447" w:type="dxa"/>
            <w:shd w:val="clear" w:color="auto" w:fill="D8D8D8" w:themeFill="background1" w:themeFillShade="D9"/>
            <w:vAlign w:val="center"/>
          </w:tcPr>
          <w:p w14:paraId="2C1A10C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test lasts for 14 days and is performed at 38±2℃ in a closed glass vessel with volume of 500 milliliters. The specimen size should be 30mm*200mm</w:t>
            </w:r>
          </w:p>
        </w:tc>
      </w:tr>
      <w:tr w14:paraId="76B92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013C3C9">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11</w:t>
            </w:r>
          </w:p>
        </w:tc>
        <w:tc>
          <w:tcPr>
            <w:tcW w:w="1558" w:type="dxa"/>
            <w:shd w:val="clear" w:color="auto" w:fill="D8D8D8" w:themeFill="background1" w:themeFillShade="D9"/>
            <w:vAlign w:val="center"/>
          </w:tcPr>
          <w:p w14:paraId="221FD88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High pressure cleaning</w:t>
            </w:r>
          </w:p>
          <w:p w14:paraId="704C397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高压清洗</w:t>
            </w:r>
          </w:p>
        </w:tc>
        <w:tc>
          <w:tcPr>
            <w:tcW w:w="2928" w:type="dxa"/>
            <w:shd w:val="clear" w:color="auto" w:fill="D8D8D8" w:themeFill="background1" w:themeFillShade="D9"/>
            <w:vAlign w:val="center"/>
          </w:tcPr>
          <w:p w14:paraId="315823B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 visible changes such as waviness, deformation, discoloration, etc. The wheel arch liner mat not detach from its attachment. No separation between plastic liner and textile</w:t>
            </w:r>
          </w:p>
        </w:tc>
        <w:tc>
          <w:tcPr>
            <w:tcW w:w="3447" w:type="dxa"/>
            <w:shd w:val="clear" w:color="auto" w:fill="D8D8D8" w:themeFill="background1" w:themeFillShade="D9"/>
            <w:vAlign w:val="center"/>
          </w:tcPr>
          <w:p w14:paraId="6506683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wheelhouse liner is fitted as in vehicle and then exposed to following cleaning: Spray nozzle 2506,water temperature 50±5,spraying distance 10 cm, the machine's water pressure is set to 120bar ,15L/minute. The cleaning is done with a sweeping motion during 1 minute/meter</w:t>
            </w:r>
          </w:p>
        </w:tc>
      </w:tr>
      <w:tr w14:paraId="7286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1C2FC590">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12</w:t>
            </w:r>
          </w:p>
        </w:tc>
        <w:tc>
          <w:tcPr>
            <w:tcW w:w="1558" w:type="dxa"/>
            <w:shd w:val="clear" w:color="auto" w:fill="D8D8D8" w:themeFill="background1" w:themeFillShade="D9"/>
            <w:vAlign w:val="center"/>
          </w:tcPr>
          <w:p w14:paraId="7EDEB67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Ozone resistance</w:t>
            </w:r>
          </w:p>
          <w:p w14:paraId="21894AC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耐臭氧性</w:t>
            </w:r>
          </w:p>
          <w:p w14:paraId="12E15AEF">
            <w:pPr>
              <w:ind w:firstLine="0" w:firstLineChars="0"/>
              <w:jc w:val="center"/>
              <w:rPr>
                <w:rFonts w:hint="eastAsia" w:ascii="方正仿宋_GB2312" w:hAnsi="方正仿宋_GB2312" w:eastAsia="方正仿宋_GB2312" w:cs="方正仿宋_GB2312"/>
                <w:b w:val="0"/>
                <w:bCs w:val="0"/>
                <w:sz w:val="21"/>
                <w:szCs w:val="21"/>
              </w:rPr>
            </w:pPr>
          </w:p>
        </w:tc>
        <w:tc>
          <w:tcPr>
            <w:tcW w:w="2928" w:type="dxa"/>
            <w:shd w:val="clear" w:color="auto" w:fill="D8D8D8" w:themeFill="background1" w:themeFillShade="D9"/>
            <w:vAlign w:val="center"/>
          </w:tcPr>
          <w:p w14:paraId="7DA268D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level 0</w:t>
            </w:r>
          </w:p>
          <w:p w14:paraId="428DD57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Color comparison according to ISO 105-A02 grey scale 4-5.</w:t>
            </w:r>
          </w:p>
        </w:tc>
        <w:tc>
          <w:tcPr>
            <w:tcW w:w="3447" w:type="dxa"/>
            <w:shd w:val="clear" w:color="auto" w:fill="D8D8D8" w:themeFill="background1" w:themeFillShade="D9"/>
            <w:vAlign w:val="center"/>
          </w:tcPr>
          <w:p w14:paraId="57741F4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ISO1431-1</w:t>
            </w:r>
          </w:p>
        </w:tc>
      </w:tr>
      <w:tr w14:paraId="3CAA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21B17A5">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13</w:t>
            </w:r>
          </w:p>
        </w:tc>
        <w:tc>
          <w:tcPr>
            <w:tcW w:w="1558" w:type="dxa"/>
            <w:shd w:val="clear" w:color="auto" w:fill="D8D8D8" w:themeFill="background1" w:themeFillShade="D9"/>
            <w:vAlign w:val="center"/>
          </w:tcPr>
          <w:p w14:paraId="256001A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Prohibition &amp; Restriction of substances禁限物质</w:t>
            </w:r>
          </w:p>
        </w:tc>
        <w:tc>
          <w:tcPr>
            <w:tcW w:w="2928" w:type="dxa"/>
            <w:shd w:val="clear" w:color="auto" w:fill="D8D8D8" w:themeFill="background1" w:themeFillShade="D9"/>
            <w:vAlign w:val="center"/>
          </w:tcPr>
          <w:p w14:paraId="5C4FF92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Pb≤1000</w:t>
            </w:r>
          </w:p>
          <w:p w14:paraId="5B28B47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Cd≤100</w:t>
            </w:r>
          </w:p>
          <w:p w14:paraId="380E55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Hg≤1000</w:t>
            </w:r>
          </w:p>
          <w:p w14:paraId="09DF6AE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Cr6+≤1000</w:t>
            </w:r>
          </w:p>
          <w:p w14:paraId="01395A9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PBB≤1000</w:t>
            </w:r>
          </w:p>
          <w:p w14:paraId="202DDBC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PBDE≤1000</w:t>
            </w:r>
          </w:p>
          <w:p w14:paraId="1157973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BBP≤1000</w:t>
            </w:r>
          </w:p>
          <w:p w14:paraId="39BEB1E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DBP≤1000</w:t>
            </w:r>
          </w:p>
          <w:p w14:paraId="438548A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DIBP≤1000</w:t>
            </w:r>
          </w:p>
          <w:p w14:paraId="34B80ED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DEHP≤1000（mg/kg）</w:t>
            </w:r>
          </w:p>
        </w:tc>
        <w:tc>
          <w:tcPr>
            <w:tcW w:w="3447" w:type="dxa"/>
            <w:shd w:val="clear" w:color="auto" w:fill="D8D8D8" w:themeFill="background1" w:themeFillShade="D9"/>
            <w:vAlign w:val="center"/>
          </w:tcPr>
          <w:p w14:paraId="3855FC8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Forbidden Objectives Control EU 2011 65</w:t>
            </w:r>
          </w:p>
        </w:tc>
      </w:tr>
      <w:tr w14:paraId="48C4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553457B">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14</w:t>
            </w:r>
          </w:p>
        </w:tc>
        <w:tc>
          <w:tcPr>
            <w:tcW w:w="1558" w:type="dxa"/>
            <w:shd w:val="clear" w:color="auto" w:fill="D8D8D8" w:themeFill="background1" w:themeFillShade="D9"/>
            <w:vAlign w:val="center"/>
          </w:tcPr>
          <w:p w14:paraId="6E15AC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Recycling &amp; Recoverability</w:t>
            </w:r>
          </w:p>
        </w:tc>
        <w:tc>
          <w:tcPr>
            <w:tcW w:w="2928" w:type="dxa"/>
            <w:shd w:val="clear" w:color="auto" w:fill="D8D8D8" w:themeFill="background1" w:themeFillShade="D9"/>
            <w:vAlign w:val="center"/>
          </w:tcPr>
          <w:p w14:paraId="7B32AE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Reusable and/or recyclable 95%</w:t>
            </w:r>
          </w:p>
          <w:p w14:paraId="4B31C86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Recyclable 85% reflectance</w:t>
            </w:r>
          </w:p>
        </w:tc>
        <w:tc>
          <w:tcPr>
            <w:tcW w:w="3447" w:type="dxa"/>
            <w:shd w:val="clear" w:color="auto" w:fill="D8D8D8" w:themeFill="background1" w:themeFillShade="D9"/>
            <w:vAlign w:val="center"/>
          </w:tcPr>
          <w:p w14:paraId="576BEC9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No.133/ISO22628</w:t>
            </w:r>
          </w:p>
        </w:tc>
      </w:tr>
      <w:tr w14:paraId="394F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04DF654">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15</w:t>
            </w:r>
          </w:p>
        </w:tc>
        <w:tc>
          <w:tcPr>
            <w:tcW w:w="1558" w:type="dxa"/>
            <w:shd w:val="clear" w:color="auto" w:fill="D8D8D8" w:themeFill="background1" w:themeFillShade="D9"/>
            <w:vAlign w:val="center"/>
          </w:tcPr>
          <w:p w14:paraId="034C248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Prohibition &amp; Restriction of substances</w:t>
            </w:r>
          </w:p>
        </w:tc>
        <w:tc>
          <w:tcPr>
            <w:tcW w:w="2928" w:type="dxa"/>
            <w:shd w:val="clear" w:color="auto" w:fill="D8D8D8" w:themeFill="background1" w:themeFillShade="D9"/>
            <w:vAlign w:val="center"/>
          </w:tcPr>
          <w:p w14:paraId="53555EB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Respect GADSL/REACH/POP/SVHC/Renault prohibd list by IMDS</w:t>
            </w:r>
          </w:p>
        </w:tc>
        <w:tc>
          <w:tcPr>
            <w:tcW w:w="3447" w:type="dxa"/>
            <w:shd w:val="clear" w:color="auto" w:fill="D8D8D8" w:themeFill="background1" w:themeFillShade="D9"/>
            <w:vAlign w:val="center"/>
          </w:tcPr>
          <w:p w14:paraId="710445D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GADSL - IMDS</w:t>
            </w:r>
          </w:p>
          <w:p w14:paraId="6D8E5E4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 1907/2006</w:t>
            </w:r>
          </w:p>
        </w:tc>
      </w:tr>
      <w:tr w14:paraId="4B6F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766D4F3">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16</w:t>
            </w:r>
          </w:p>
        </w:tc>
        <w:tc>
          <w:tcPr>
            <w:tcW w:w="1558" w:type="dxa"/>
            <w:shd w:val="clear" w:color="auto" w:fill="D8D8D8" w:themeFill="background1" w:themeFillShade="D9"/>
            <w:vAlign w:val="center"/>
          </w:tcPr>
          <w:p w14:paraId="571B4F4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Parts Marking</w:t>
            </w:r>
          </w:p>
          <w:p w14:paraId="3782174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材料标识</w:t>
            </w:r>
          </w:p>
        </w:tc>
        <w:tc>
          <w:tcPr>
            <w:tcW w:w="2928" w:type="dxa"/>
            <w:shd w:val="clear" w:color="auto" w:fill="D8D8D8" w:themeFill="background1" w:themeFillShade="D9"/>
            <w:vAlign w:val="center"/>
          </w:tcPr>
          <w:p w14:paraId="32246F6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Respect ISO standards </w:t>
            </w:r>
          </w:p>
          <w:p w14:paraId="27CDC9B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(1043-1, 1043-2, 11469, 1629)</w:t>
            </w:r>
          </w:p>
          <w:p w14:paraId="3A77B48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and Law No. 14902, June 27th,2024</w:t>
            </w:r>
          </w:p>
          <w:p w14:paraId="4B0F2BD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（Brazilian Regulation）</w:t>
            </w:r>
          </w:p>
        </w:tc>
        <w:tc>
          <w:tcPr>
            <w:tcW w:w="3447" w:type="dxa"/>
            <w:shd w:val="clear" w:color="auto" w:fill="D8D8D8" w:themeFill="background1" w:themeFillShade="D9"/>
            <w:vAlign w:val="center"/>
          </w:tcPr>
          <w:p w14:paraId="6782001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height and width of the letters/numbers used for marking should generally be no less than 3 mm.</w:t>
            </w:r>
          </w:p>
        </w:tc>
      </w:tr>
    </w:tbl>
    <w:p w14:paraId="50C00EA9">
      <w:pPr>
        <w:spacing w:line="360" w:lineRule="auto"/>
        <w:rPr>
          <w:rFonts w:hint="eastAsia" w:ascii="方正仿宋_GB2312" w:hAnsi="方正仿宋_GB2312" w:eastAsia="方正仿宋_GB2312" w:cs="方正仿宋_GB2312"/>
          <w:b w:val="0"/>
          <w:bCs w:val="0"/>
          <w:sz w:val="21"/>
          <w:szCs w:val="21"/>
        </w:rPr>
      </w:pPr>
    </w:p>
    <w:p w14:paraId="6F89EB13">
      <w:pPr>
        <w:autoSpaceDE w:val="0"/>
        <w:autoSpaceDN w:val="0"/>
        <w:adjustRightInd w:val="0"/>
        <w:spacing w:line="360" w:lineRule="auto"/>
        <w:rPr>
          <w:rFonts w:hint="eastAsia" w:ascii="方正仿宋_GB2312" w:hAnsi="方正仿宋_GB2312" w:eastAsia="方正仿宋_GB2312" w:cs="方正仿宋_GB2312"/>
          <w:sz w:val="21"/>
          <w:szCs w:val="21"/>
        </w:rPr>
      </w:pPr>
    </w:p>
    <w:p w14:paraId="20E8D364">
      <w:pPr>
        <w:tabs>
          <w:tab w:val="left" w:pos="8580"/>
        </w:tabs>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4</w:t>
      </w:r>
      <w:r>
        <w:rPr>
          <w:rFonts w:hint="eastAsia" w:ascii="方正仿宋_GB2312" w:hAnsi="方正仿宋_GB2312" w:eastAsia="方正仿宋_GB2312" w:cs="方正仿宋_GB2312"/>
          <w:sz w:val="21"/>
          <w:szCs w:val="21"/>
          <w:lang w:val="zh-CN"/>
        </w:rPr>
        <w:t xml:space="preserve"> 检验和验收规则</w:t>
      </w:r>
      <w:r>
        <w:rPr>
          <w:rFonts w:hint="eastAsia" w:ascii="方正仿宋_GB2312" w:hAnsi="方正仿宋_GB2312" w:eastAsia="方正仿宋_GB2312" w:cs="方正仿宋_GB2312"/>
          <w:sz w:val="21"/>
          <w:szCs w:val="21"/>
        </w:rPr>
        <w:tab/>
      </w:r>
    </w:p>
    <w:p w14:paraId="3AFE1A2B">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 xml:space="preserve">    产品尺寸符合匹2D图纸要求，质量符合质量协议，性能符合本协议对应条款。</w:t>
      </w:r>
    </w:p>
    <w:p w14:paraId="00FA6334">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5</w:t>
      </w:r>
      <w:r>
        <w:rPr>
          <w:rFonts w:hint="eastAsia" w:ascii="方正仿宋_GB2312" w:hAnsi="方正仿宋_GB2312" w:eastAsia="方正仿宋_GB2312" w:cs="方正仿宋_GB2312"/>
          <w:sz w:val="21"/>
          <w:szCs w:val="21"/>
          <w:lang w:val="zh-CN"/>
        </w:rPr>
        <w:t xml:space="preserve"> 保密和拒收</w:t>
      </w:r>
    </w:p>
    <w:p w14:paraId="725981EF">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5.1  本技术协议为甲方生产用的原材料的专用资料，乙方不得丢失或转给第三方。</w:t>
      </w:r>
    </w:p>
    <w:p w14:paraId="73C8ED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5.2  对不符合要求的产品，甲方有权拒收。</w:t>
      </w:r>
    </w:p>
    <w:p w14:paraId="28EBB2D7">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 xml:space="preserve">6 </w:t>
      </w:r>
      <w:r>
        <w:rPr>
          <w:rFonts w:hint="eastAsia" w:ascii="方正仿宋_GB2312" w:hAnsi="方正仿宋_GB2312" w:eastAsia="方正仿宋_GB2312" w:cs="方正仿宋_GB2312"/>
          <w:sz w:val="21"/>
          <w:szCs w:val="21"/>
        </w:rPr>
        <w:t>标志、包装、运输、储存</w:t>
      </w:r>
    </w:p>
    <w:p w14:paraId="1C4B2738">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6.1 每批供货产品应附有符合该技术协议要求的质量保证单，其中应注明如下信息二维码标签，(见下图片)：</w:t>
      </w:r>
    </w:p>
    <w:p w14:paraId="2CBD8864">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drawing>
          <wp:inline distT="0" distB="0" distL="0" distR="0">
            <wp:extent cx="5085080" cy="4492625"/>
            <wp:effectExtent l="19050" t="0" r="12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cstate="print"/>
                    <a:stretch>
                      <a:fillRect/>
                    </a:stretch>
                  </pic:blipFill>
                  <pic:spPr>
                    <a:xfrm>
                      <a:off x="0" y="0"/>
                      <a:ext cx="5085080" cy="4492625"/>
                    </a:xfrm>
                    <a:prstGeom prst="rect">
                      <a:avLst/>
                    </a:prstGeom>
                  </pic:spPr>
                </pic:pic>
              </a:graphicData>
            </a:graphic>
          </wp:inline>
        </w:drawing>
      </w:r>
    </w:p>
    <w:p w14:paraId="25ADE6BF">
      <w:pPr>
        <w:spacing w:line="360" w:lineRule="auto"/>
        <w:rPr>
          <w:rFonts w:hint="eastAsia" w:ascii="方正仿宋_GB2312" w:hAnsi="方正仿宋_GB2312" w:eastAsia="方正仿宋_GB2312" w:cs="方正仿宋_GB2312"/>
          <w:sz w:val="21"/>
          <w:szCs w:val="21"/>
        </w:rPr>
      </w:pPr>
    </w:p>
    <w:p w14:paraId="38966EB6">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a) 乙方名称；</w:t>
      </w:r>
    </w:p>
    <w:p w14:paraId="39896D2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b) 编号；</w:t>
      </w:r>
    </w:p>
    <w:p w14:paraId="340D61F2">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c) 采购订单；</w:t>
      </w:r>
    </w:p>
    <w:p w14:paraId="29092312">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d) 生产日期；</w:t>
      </w:r>
    </w:p>
    <w:p w14:paraId="2433E439">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e) 生产批次；</w:t>
      </w:r>
    </w:p>
    <w:p w14:paraId="3CD432F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f）数量/单位</w:t>
      </w:r>
    </w:p>
    <w:p w14:paraId="028B0E70">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g）总数量</w:t>
      </w:r>
    </w:p>
    <w:p w14:paraId="182927DA">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h）包装箱序号</w:t>
      </w:r>
    </w:p>
    <w:p w14:paraId="58BEA925">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i）各项试验结果和试验报告附件；</w:t>
      </w:r>
    </w:p>
    <w:p w14:paraId="26DDDEDB">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j) 乙方技术监督部门印记和负责人签名；</w:t>
      </w:r>
    </w:p>
    <w:p w14:paraId="6165D853">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k）本技术协议名称或编号；</w:t>
      </w:r>
    </w:p>
    <w:p w14:paraId="665DF7CC">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l）包装日期。</w:t>
      </w:r>
    </w:p>
    <w:p w14:paraId="19A85B1D">
      <w:pPr>
        <w:spacing w:line="360" w:lineRule="auto"/>
        <w:rPr>
          <w:rFonts w:hint="default" w:ascii="方正仿宋_GB2312" w:hAnsi="方正仿宋_GB2312" w:eastAsia="方正仿宋_GB2312" w:cs="方正仿宋_GB2312"/>
          <w:sz w:val="21"/>
          <w:szCs w:val="21"/>
          <w:lang w:val="en-US"/>
        </w:rPr>
      </w:pPr>
      <w:r>
        <w:rPr>
          <w:rFonts w:hint="eastAsia" w:ascii="方正仿宋_GB2312" w:hAnsi="方正仿宋_GB2312" w:eastAsia="方正仿宋_GB2312" w:cs="方正仿宋_GB2312"/>
          <w:sz w:val="21"/>
          <w:szCs w:val="21"/>
          <w:lang w:val="en-US" w:eastAsia="zh-CN"/>
        </w:rPr>
        <w:t>M</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color w:val="0000FF"/>
          <w:sz w:val="21"/>
          <w:szCs w:val="21"/>
        </w:rPr>
        <w:t>包装</w:t>
      </w:r>
      <w:r>
        <w:rPr>
          <w:rFonts w:hint="eastAsia" w:ascii="方正仿宋_GB2312" w:hAnsi="方正仿宋_GB2312" w:eastAsia="方正仿宋_GB2312" w:cs="方正仿宋_GB2312"/>
          <w:color w:val="0000FF"/>
          <w:sz w:val="21"/>
          <w:szCs w:val="21"/>
          <w:lang w:val="en-US" w:eastAsia="zh-CN"/>
        </w:rPr>
        <w:t>方式：以甲方提供的包装方案执行，或经乙方提供，甲方确认的方式。</w:t>
      </w:r>
    </w:p>
    <w:p w14:paraId="1A4C6DF8">
      <w:pPr>
        <w:spacing w:line="360" w:lineRule="auto"/>
        <w:rPr>
          <w:rFonts w:hint="eastAsia" w:ascii="方正仿宋_GB2312" w:hAnsi="方正仿宋_GB2312" w:eastAsia="方正仿宋_GB2312" w:cs="方正仿宋_GB2312"/>
          <w:sz w:val="21"/>
          <w:szCs w:val="21"/>
        </w:rPr>
      </w:pPr>
    </w:p>
    <w:p w14:paraId="41D7BD1B">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6.2  针对每款零件乙方每年要提供型式试验报告，型式试验若由乙方内部实施，则需要提供乙方实验室资质证明，若由第三方机构进行试验，则务必在经过认可的机构进行。</w:t>
      </w:r>
    </w:p>
    <w:p w14:paraId="05B3897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6.3  关于涉及到特殊特性零部件的供应商每年必须向甲方提交一次每一种特殊特性零部件的报告（包括特殊特性零部件的性能、材质、尺寸、CPK分析、MSA分析等）。</w:t>
      </w:r>
    </w:p>
    <w:p w14:paraId="1C8F205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6.4  乙方发生以下情况中任何一项，必须重新提交PPAP 资料，并重新送样经甲方批准：</w:t>
      </w:r>
    </w:p>
    <w:p w14:paraId="0B99B56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 a) 使用了不同的材料；</w:t>
      </w:r>
    </w:p>
    <w:p w14:paraId="6531B828">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b) 对现有工装或设备进行升级或重新布置后</w:t>
      </w:r>
      <w:bookmarkStart w:id="2" w:name="_GoBack"/>
      <w:bookmarkEnd w:id="2"/>
      <w:r>
        <w:rPr>
          <w:rFonts w:hint="eastAsia" w:ascii="方正仿宋_GB2312" w:hAnsi="方正仿宋_GB2312" w:eastAsia="方正仿宋_GB2312" w:cs="方正仿宋_GB2312"/>
          <w:sz w:val="21"/>
          <w:szCs w:val="21"/>
        </w:rPr>
        <w:t>再进行生产；</w:t>
      </w:r>
    </w:p>
    <w:p w14:paraId="25356A9A">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c) 工装或设备转移到不同的工厂，或在一个新增的厂址进行生产；</w:t>
      </w:r>
    </w:p>
    <w:p w14:paraId="624924F7">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d) 供方的材料变更；</w:t>
      </w:r>
    </w:p>
    <w:p w14:paraId="5DBDA81E">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e) 生产过程、生产方法、工艺发生变化；</w:t>
      </w:r>
    </w:p>
    <w:p w14:paraId="02A2D5B3">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f) 产品停止使用12 个月以上重新投入生产； </w:t>
      </w:r>
    </w:p>
    <w:p w14:paraId="3783B23F">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6.5  乙方不允许将订货产品的制造全部委托或承包给第三者（以下称乙方外协厂）；乙方可将订货物品制造的一部分委托或承包给乙方外协厂（关键工序不得外包，关键工序指对产品质量有重大或关键影响的工序），乙方委托或承包给乙方外协厂时，但必须事先向甲方申请并取得甲方的认可。 </w:t>
      </w:r>
    </w:p>
    <w:p w14:paraId="6A1BECB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6.6  乙方外协厂制造的产品应满足质量要求，乙方对甲方负有全部责任。 </w:t>
      </w:r>
    </w:p>
    <w:p w14:paraId="4DBD6A4C">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6.7甲方认为乙方外协厂的产品质量保证体制及质量保证活动需要改善时，乙方应积极与其外协厂寻求改善办法。 </w:t>
      </w:r>
    </w:p>
    <w:p w14:paraId="16933A0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6.8若乙方完全不从事生产而专门进行第三方产品代理经营活动，由乙方对订货产品质量负全部责任。</w:t>
      </w:r>
    </w:p>
    <w:p w14:paraId="3BED71A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6.9 供货包装在周转运输过程中，不能对产品的外观、结构造成不良；</w:t>
      </w:r>
    </w:p>
    <w:p w14:paraId="1DE8466C">
      <w:pPr>
        <w:spacing w:line="288" w:lineRule="auto"/>
        <w:ind w:firstLine="210" w:firstLineChars="100"/>
        <w:jc w:val="left"/>
        <w:rPr>
          <w:rFonts w:hint="eastAsia" w:ascii="方正仿宋_GB2312" w:hAnsi="方正仿宋_GB2312" w:eastAsia="方正仿宋_GB2312" w:cs="方正仿宋_GB2312"/>
          <w:sz w:val="21"/>
          <w:szCs w:val="21"/>
        </w:rPr>
      </w:pPr>
    </w:p>
    <w:p w14:paraId="6F8BE21E">
      <w:pPr>
        <w:spacing w:line="288" w:lineRule="auto"/>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7</w:t>
      </w:r>
      <w:r>
        <w:rPr>
          <w:rFonts w:hint="eastAsia" w:ascii="方正仿宋_GB2312" w:hAnsi="方正仿宋_GB2312" w:eastAsia="方正仿宋_GB2312" w:cs="方正仿宋_GB2312"/>
          <w:sz w:val="21"/>
          <w:szCs w:val="21"/>
        </w:rPr>
        <w:t xml:space="preserve"> 变更的管理 </w:t>
      </w:r>
    </w:p>
    <w:p w14:paraId="466C7D0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7.1 设计、制造条件变更的联络</w:t>
      </w:r>
    </w:p>
    <w:p w14:paraId="5A6F550D">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 乙方在做出任何有可能影响到产品质量的计划性变动以前，应征得甲方的批准，尤其是在下列各条之一变更时，立即将此事书面报告甲方并取得甲方认可：</w:t>
      </w:r>
    </w:p>
    <w:p w14:paraId="7357274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7.2.1设计变更给甲方交货开始后，材料变更时</w:t>
      </w:r>
    </w:p>
    <w:p w14:paraId="471DC17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7.2.2新造、更新模具 制造产品新造模具时，或使用中改造模具时</w:t>
      </w:r>
    </w:p>
    <w:p w14:paraId="26D2267E">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7.2.3变更制造工艺方法 原材料制造工艺（工程、加工、作业和检查的方法、使用的制造设备等）发生变更时</w:t>
      </w:r>
    </w:p>
    <w:p w14:paraId="0F074F92">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7.2.4制造场所、乙方外协厂变更制造产品的乙方工厂或乙方外协厂变更时（更新外购件时、或从外协厂转回乙方工厂时） </w:t>
      </w:r>
    </w:p>
    <w:p w14:paraId="3D0CFD79">
      <w:pPr>
        <w:spacing w:line="360" w:lineRule="auto"/>
        <w:rPr>
          <w:rFonts w:hint="eastAsia" w:ascii="方正仿宋_GB2312" w:hAnsi="方正仿宋_GB2312" w:eastAsia="方正仿宋_GB2312" w:cs="方正仿宋_GB2312"/>
          <w:sz w:val="21"/>
          <w:szCs w:val="21"/>
        </w:rPr>
      </w:pPr>
    </w:p>
    <w:p w14:paraId="114B7955">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8</w:t>
      </w:r>
      <w:r>
        <w:rPr>
          <w:rFonts w:hint="eastAsia" w:ascii="方正仿宋_GB2312" w:hAnsi="方正仿宋_GB2312" w:eastAsia="方正仿宋_GB2312" w:cs="方正仿宋_GB2312"/>
          <w:sz w:val="21"/>
          <w:szCs w:val="21"/>
        </w:rPr>
        <w:t xml:space="preserve"> 最后条款</w:t>
      </w:r>
    </w:p>
    <w:p w14:paraId="791C765B">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8.1本技术协议作为《供货协议》的附件,与《供货协议》具有同等法律效力。</w:t>
      </w:r>
    </w:p>
    <w:p w14:paraId="6796C010">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8.2本协议一式两份，甲乙双方各持一份，自甲乙双方签字盖章之日起生效。</w:t>
      </w:r>
    </w:p>
    <w:p w14:paraId="4B4E6E81">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8.3 对本技术协议的任何修改、增删，甲乙双方应协商确定，并以书面形式作出。</w:t>
      </w:r>
    </w:p>
    <w:p w14:paraId="4353B4F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8.4 本技术协议未尽事宜，甲乙双方应协商确定，并应签订书面补充协议。</w:t>
      </w:r>
    </w:p>
    <w:p w14:paraId="52F8CC1E">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（以下无正文）</w:t>
      </w:r>
    </w:p>
    <w:p w14:paraId="7E4CC946">
      <w:pPr>
        <w:autoSpaceDE w:val="0"/>
        <w:autoSpaceDN w:val="0"/>
        <w:adjustRightInd w:val="0"/>
        <w:spacing w:line="360" w:lineRule="auto"/>
        <w:rPr>
          <w:rFonts w:hint="eastAsia" w:ascii="方正仿宋_GB2312" w:hAnsi="方正仿宋_GB2312" w:eastAsia="方正仿宋_GB2312" w:cs="方正仿宋_GB2312"/>
          <w:sz w:val="21"/>
          <w:szCs w:val="21"/>
        </w:rPr>
      </w:pPr>
    </w:p>
    <w:p w14:paraId="64A9C915">
      <w:pPr>
        <w:autoSpaceDE w:val="0"/>
        <w:autoSpaceDN w:val="0"/>
        <w:adjustRightInd w:val="0"/>
        <w:spacing w:line="360" w:lineRule="auto"/>
        <w:rPr>
          <w:rFonts w:hint="eastAsia" w:ascii="方正仿宋_GB2312" w:hAnsi="方正仿宋_GB2312" w:eastAsia="方正仿宋_GB2312" w:cs="方正仿宋_GB2312"/>
          <w:sz w:val="21"/>
          <w:szCs w:val="21"/>
        </w:rPr>
      </w:pPr>
    </w:p>
    <w:p w14:paraId="2AE55584">
      <w:pPr>
        <w:autoSpaceDE w:val="0"/>
        <w:autoSpaceDN w:val="0"/>
        <w:adjustRightInd w:val="0"/>
        <w:spacing w:line="360" w:lineRule="auto"/>
        <w:rPr>
          <w:rFonts w:hint="eastAsia" w:ascii="方正仿宋_GB2312" w:hAnsi="方正仿宋_GB2312" w:eastAsia="方正仿宋_GB2312" w:cs="方正仿宋_GB2312"/>
          <w:sz w:val="21"/>
          <w:szCs w:val="21"/>
        </w:rPr>
      </w:pPr>
    </w:p>
    <w:p w14:paraId="35865B91">
      <w:pPr>
        <w:autoSpaceDE w:val="0"/>
        <w:autoSpaceDN w:val="0"/>
        <w:adjustRightInd w:val="0"/>
        <w:spacing w:line="360" w:lineRule="auto"/>
        <w:rPr>
          <w:rFonts w:hint="eastAsia" w:ascii="方正仿宋_GB2312" w:hAnsi="方正仿宋_GB2312" w:eastAsia="方正仿宋_GB2312" w:cs="方正仿宋_GB2312"/>
          <w:sz w:val="21"/>
          <w:szCs w:val="21"/>
        </w:rPr>
      </w:pPr>
    </w:p>
    <w:p w14:paraId="288CEC11">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甲方：</w:t>
      </w:r>
      <w:r>
        <w:rPr>
          <w:rFonts w:hint="eastAsia" w:ascii="方正仿宋_GB2312" w:hAnsi="方正仿宋_GB2312" w:eastAsia="方正仿宋_GB2312" w:cs="方正仿宋_GB2312"/>
          <w:sz w:val="21"/>
          <w:szCs w:val="21"/>
          <w:u w:val="single"/>
          <w:lang w:val="en-US" w:eastAsia="zh-CN"/>
        </w:rPr>
        <w:t>金榕汽车零部件股份</w:t>
      </w:r>
      <w:r>
        <w:rPr>
          <w:rFonts w:hint="eastAsia" w:ascii="方正仿宋_GB2312" w:hAnsi="方正仿宋_GB2312" w:eastAsia="方正仿宋_GB2312" w:cs="方正仿宋_GB2312"/>
          <w:sz w:val="21"/>
          <w:szCs w:val="21"/>
          <w:u w:val="single"/>
          <w:lang w:val="zh-CN"/>
        </w:rPr>
        <w:t>有限公司</w:t>
      </w:r>
      <w:r>
        <w:rPr>
          <w:rFonts w:hint="eastAsia" w:ascii="方正仿宋_GB2312" w:hAnsi="方正仿宋_GB2312" w:eastAsia="方正仿宋_GB2312" w:cs="方正仿宋_GB2312"/>
          <w:sz w:val="21"/>
          <w:szCs w:val="21"/>
          <w:lang w:val="zh-CN"/>
        </w:rPr>
        <w:t xml:space="preserve">         乙方：</w:t>
      </w:r>
      <w:r>
        <w:rPr>
          <w:rFonts w:hint="eastAsia" w:ascii="方正仿宋_GB2312" w:hAnsi="方正仿宋_GB2312" w:eastAsia="方正仿宋_GB2312" w:cs="方正仿宋_GB2312"/>
          <w:sz w:val="21"/>
          <w:szCs w:val="21"/>
          <w:u w:val="single"/>
          <w:lang w:val="zh-CN"/>
        </w:rPr>
        <w:t xml:space="preserve">XXXXXXX汽车部件有限公司 </w:t>
      </w:r>
      <w:r>
        <w:rPr>
          <w:rFonts w:hint="eastAsia" w:ascii="方正仿宋_GB2312" w:hAnsi="方正仿宋_GB2312" w:eastAsia="方正仿宋_GB2312" w:cs="方正仿宋_GB2312"/>
          <w:sz w:val="21"/>
          <w:szCs w:val="21"/>
          <w:lang w:val="zh-CN"/>
        </w:rPr>
        <w:t xml:space="preserve">           </w:t>
      </w:r>
    </w:p>
    <w:p w14:paraId="29A8131A">
      <w:pPr>
        <w:autoSpaceDE w:val="0"/>
        <w:autoSpaceDN w:val="0"/>
        <w:adjustRightInd w:val="0"/>
        <w:spacing w:line="360" w:lineRule="auto"/>
        <w:ind w:firstLine="480"/>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 xml:space="preserve">（盖章）                                 （盖章）                            </w:t>
      </w:r>
    </w:p>
    <w:p w14:paraId="2C7E1439">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签约代表：（签字）                    签约代表：（签字）</w:t>
      </w:r>
    </w:p>
    <w:p w14:paraId="46739084">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签订时间：   年   月   日            签订时间：      年   月   日</w:t>
      </w:r>
    </w:p>
    <w:p w14:paraId="593CD4A9"/>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仿宋_GB2312">
    <w:panose1 w:val="02000000000000000000"/>
    <w:charset w:val="86"/>
    <w:family w:val="auto"/>
    <w:pitch w:val="default"/>
    <w:sig w:usb0="A00002BF" w:usb1="184F6CFA" w:usb2="00000012" w:usb3="00000000" w:csb0="00040001" w:csb1="00000000"/>
    <w:embedRegular r:id="rId1" w:fontKey="{E9CBE995-B80E-4A7E-8384-2EBDE9DA78F7}"/>
  </w:font>
  <w:font w:name="微软雅黑">
    <w:panose1 w:val="020B0503020204020204"/>
    <w:charset w:val="86"/>
    <w:family w:val="auto"/>
    <w:pitch w:val="default"/>
    <w:sig w:usb0="80000287" w:usb1="2ACF3C50" w:usb2="00000016" w:usb3="00000000" w:csb0="0004001F" w:csb1="00000000"/>
    <w:embedRegular r:id="rId2" w:fontKey="{26F7D88C-9726-4751-B079-B41562C4B1F8}"/>
  </w:font>
  <w:font w:name="KSOFF9CBECC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6FD2EC"/>
    <w:multiLevelType w:val="multilevel"/>
    <w:tmpl w:val="F96FD2EC"/>
    <w:lvl w:ilvl="0" w:tentative="0">
      <w:start w:val="1"/>
      <w:numFmt w:val="decimal"/>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8E4"/>
    <w:rsid w:val="000055ED"/>
    <w:rsid w:val="000059C1"/>
    <w:rsid w:val="00006F1C"/>
    <w:rsid w:val="000263E6"/>
    <w:rsid w:val="00042065"/>
    <w:rsid w:val="000741C4"/>
    <w:rsid w:val="0008366B"/>
    <w:rsid w:val="000A3D98"/>
    <w:rsid w:val="000B2DDC"/>
    <w:rsid w:val="000B2F7D"/>
    <w:rsid w:val="000B7FEB"/>
    <w:rsid w:val="000C27C1"/>
    <w:rsid w:val="000C5B16"/>
    <w:rsid w:val="000D6FCC"/>
    <w:rsid w:val="000E1338"/>
    <w:rsid w:val="000E1E27"/>
    <w:rsid w:val="000F7B81"/>
    <w:rsid w:val="00132650"/>
    <w:rsid w:val="0013287C"/>
    <w:rsid w:val="00150C2A"/>
    <w:rsid w:val="00155979"/>
    <w:rsid w:val="00170643"/>
    <w:rsid w:val="001722F1"/>
    <w:rsid w:val="00186098"/>
    <w:rsid w:val="001B226D"/>
    <w:rsid w:val="001D0BD6"/>
    <w:rsid w:val="001E03C5"/>
    <w:rsid w:val="001E46CD"/>
    <w:rsid w:val="001E4A10"/>
    <w:rsid w:val="001E5D4D"/>
    <w:rsid w:val="001F60B1"/>
    <w:rsid w:val="00244156"/>
    <w:rsid w:val="00244301"/>
    <w:rsid w:val="00247B83"/>
    <w:rsid w:val="00264633"/>
    <w:rsid w:val="00270A5B"/>
    <w:rsid w:val="00272564"/>
    <w:rsid w:val="002A2F21"/>
    <w:rsid w:val="002B67E2"/>
    <w:rsid w:val="002C719F"/>
    <w:rsid w:val="002D3F0B"/>
    <w:rsid w:val="003025C7"/>
    <w:rsid w:val="0032791C"/>
    <w:rsid w:val="00327F0E"/>
    <w:rsid w:val="003337E6"/>
    <w:rsid w:val="003408C3"/>
    <w:rsid w:val="0034572A"/>
    <w:rsid w:val="00353F8F"/>
    <w:rsid w:val="00361EBD"/>
    <w:rsid w:val="00363DE8"/>
    <w:rsid w:val="00371B61"/>
    <w:rsid w:val="003B6CA3"/>
    <w:rsid w:val="003B7A7C"/>
    <w:rsid w:val="003C16FD"/>
    <w:rsid w:val="003E51E3"/>
    <w:rsid w:val="003F3AB8"/>
    <w:rsid w:val="004108B9"/>
    <w:rsid w:val="00411ECF"/>
    <w:rsid w:val="00422F32"/>
    <w:rsid w:val="004263AF"/>
    <w:rsid w:val="004263B6"/>
    <w:rsid w:val="00432200"/>
    <w:rsid w:val="00451AD8"/>
    <w:rsid w:val="004970B7"/>
    <w:rsid w:val="004D58F6"/>
    <w:rsid w:val="004E27BB"/>
    <w:rsid w:val="005056E4"/>
    <w:rsid w:val="005238F0"/>
    <w:rsid w:val="005245E1"/>
    <w:rsid w:val="005268E4"/>
    <w:rsid w:val="00544A6D"/>
    <w:rsid w:val="005536D9"/>
    <w:rsid w:val="005641F7"/>
    <w:rsid w:val="00565E25"/>
    <w:rsid w:val="005862D1"/>
    <w:rsid w:val="00586D67"/>
    <w:rsid w:val="005C799F"/>
    <w:rsid w:val="005E33F7"/>
    <w:rsid w:val="00621197"/>
    <w:rsid w:val="00632CBB"/>
    <w:rsid w:val="00633DC9"/>
    <w:rsid w:val="00652543"/>
    <w:rsid w:val="00693827"/>
    <w:rsid w:val="006941AA"/>
    <w:rsid w:val="006C4665"/>
    <w:rsid w:val="006D1543"/>
    <w:rsid w:val="006D2A29"/>
    <w:rsid w:val="00701369"/>
    <w:rsid w:val="00705867"/>
    <w:rsid w:val="00737BC0"/>
    <w:rsid w:val="00743665"/>
    <w:rsid w:val="00760213"/>
    <w:rsid w:val="0076390A"/>
    <w:rsid w:val="00786EBB"/>
    <w:rsid w:val="007A0996"/>
    <w:rsid w:val="007B488C"/>
    <w:rsid w:val="007C2D3C"/>
    <w:rsid w:val="007D29F8"/>
    <w:rsid w:val="007E5124"/>
    <w:rsid w:val="0082135E"/>
    <w:rsid w:val="008241B3"/>
    <w:rsid w:val="00855F22"/>
    <w:rsid w:val="00862E90"/>
    <w:rsid w:val="0086359C"/>
    <w:rsid w:val="0086658F"/>
    <w:rsid w:val="00873787"/>
    <w:rsid w:val="00876C42"/>
    <w:rsid w:val="00885179"/>
    <w:rsid w:val="00896F4D"/>
    <w:rsid w:val="008A63DF"/>
    <w:rsid w:val="008B52D3"/>
    <w:rsid w:val="008E72F3"/>
    <w:rsid w:val="008F6F1C"/>
    <w:rsid w:val="00912771"/>
    <w:rsid w:val="00913739"/>
    <w:rsid w:val="009240C4"/>
    <w:rsid w:val="009312CB"/>
    <w:rsid w:val="00935C0E"/>
    <w:rsid w:val="00937256"/>
    <w:rsid w:val="0094599B"/>
    <w:rsid w:val="009459A3"/>
    <w:rsid w:val="00955273"/>
    <w:rsid w:val="009741A1"/>
    <w:rsid w:val="009A5383"/>
    <w:rsid w:val="009D0445"/>
    <w:rsid w:val="009D335C"/>
    <w:rsid w:val="00A02B91"/>
    <w:rsid w:val="00A23FD7"/>
    <w:rsid w:val="00A3531C"/>
    <w:rsid w:val="00A37916"/>
    <w:rsid w:val="00A5259A"/>
    <w:rsid w:val="00A546BA"/>
    <w:rsid w:val="00A65FE3"/>
    <w:rsid w:val="00A73912"/>
    <w:rsid w:val="00A926C8"/>
    <w:rsid w:val="00AF2CF4"/>
    <w:rsid w:val="00B02AF3"/>
    <w:rsid w:val="00B22E52"/>
    <w:rsid w:val="00B25F6C"/>
    <w:rsid w:val="00B34DA2"/>
    <w:rsid w:val="00B42A20"/>
    <w:rsid w:val="00B5689A"/>
    <w:rsid w:val="00B60C60"/>
    <w:rsid w:val="00B67801"/>
    <w:rsid w:val="00B90D8C"/>
    <w:rsid w:val="00BA0712"/>
    <w:rsid w:val="00BA31A4"/>
    <w:rsid w:val="00BD2497"/>
    <w:rsid w:val="00BF060A"/>
    <w:rsid w:val="00C01A4E"/>
    <w:rsid w:val="00C20BA8"/>
    <w:rsid w:val="00C27111"/>
    <w:rsid w:val="00C31408"/>
    <w:rsid w:val="00C36CAB"/>
    <w:rsid w:val="00C62574"/>
    <w:rsid w:val="00C733D0"/>
    <w:rsid w:val="00C82270"/>
    <w:rsid w:val="00C84F89"/>
    <w:rsid w:val="00C8556A"/>
    <w:rsid w:val="00C962A9"/>
    <w:rsid w:val="00CA3B77"/>
    <w:rsid w:val="00CB20B4"/>
    <w:rsid w:val="00CC08EE"/>
    <w:rsid w:val="00CD11CB"/>
    <w:rsid w:val="00CD1E6D"/>
    <w:rsid w:val="00D05BEB"/>
    <w:rsid w:val="00D07772"/>
    <w:rsid w:val="00D17827"/>
    <w:rsid w:val="00D573F8"/>
    <w:rsid w:val="00D65D2A"/>
    <w:rsid w:val="00D92365"/>
    <w:rsid w:val="00DA1BB5"/>
    <w:rsid w:val="00DA7185"/>
    <w:rsid w:val="00DA7685"/>
    <w:rsid w:val="00DB43AB"/>
    <w:rsid w:val="00DD1121"/>
    <w:rsid w:val="00E0009D"/>
    <w:rsid w:val="00E116D5"/>
    <w:rsid w:val="00E11F4E"/>
    <w:rsid w:val="00E13716"/>
    <w:rsid w:val="00E1489C"/>
    <w:rsid w:val="00E41FCD"/>
    <w:rsid w:val="00E7379C"/>
    <w:rsid w:val="00E75B19"/>
    <w:rsid w:val="00EB4EDC"/>
    <w:rsid w:val="00EC256E"/>
    <w:rsid w:val="00ED4731"/>
    <w:rsid w:val="00EF7D26"/>
    <w:rsid w:val="00F00350"/>
    <w:rsid w:val="00F01831"/>
    <w:rsid w:val="00F33B3A"/>
    <w:rsid w:val="00F403F6"/>
    <w:rsid w:val="00F5727F"/>
    <w:rsid w:val="00F67C17"/>
    <w:rsid w:val="00F91157"/>
    <w:rsid w:val="00F950F4"/>
    <w:rsid w:val="00FA450B"/>
    <w:rsid w:val="00FA6842"/>
    <w:rsid w:val="00FC61D3"/>
    <w:rsid w:val="00FE11C1"/>
    <w:rsid w:val="00FE5E8C"/>
    <w:rsid w:val="00FF448A"/>
    <w:rsid w:val="01A37EA8"/>
    <w:rsid w:val="03347238"/>
    <w:rsid w:val="1838296D"/>
    <w:rsid w:val="1E491DB0"/>
    <w:rsid w:val="1FA17F08"/>
    <w:rsid w:val="234D33D1"/>
    <w:rsid w:val="48081C65"/>
    <w:rsid w:val="69762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9"/>
    <w:pPr>
      <w:autoSpaceDE w:val="0"/>
      <w:autoSpaceDN w:val="0"/>
      <w:adjustRightInd w:val="0"/>
      <w:jc w:val="left"/>
      <w:outlineLvl w:val="0"/>
    </w:pPr>
    <w:rPr>
      <w:rFonts w:ascii="楷体_GB2312" w:eastAsia="楷体_GB2312"/>
      <w:kern w:val="0"/>
      <w:sz w:val="24"/>
      <w:szCs w:val="24"/>
    </w:rPr>
  </w:style>
  <w:style w:type="paragraph" w:styleId="3">
    <w:name w:val="heading 2"/>
    <w:basedOn w:val="1"/>
    <w:next w:val="1"/>
    <w:unhideWhenUsed/>
    <w:qFormat/>
    <w:uiPriority w:val="9"/>
    <w:pPr>
      <w:keepNext/>
      <w:keepLines/>
      <w:numPr>
        <w:ilvl w:val="1"/>
        <w:numId w:val="1"/>
      </w:numPr>
      <w:ind w:firstLine="0" w:firstLineChars="0"/>
      <w:outlineLvl w:val="1"/>
    </w:pPr>
    <w:rPr>
      <w:rFonts w:eastAsia="宋体" w:asciiTheme="majorHAnsi" w:hAnsiTheme="majorHAnsi" w:cstheme="majorBidi"/>
      <w:b/>
      <w:bCs/>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1">
    <w:name w:val="标题 1 Char"/>
    <w:basedOn w:val="10"/>
    <w:link w:val="2"/>
    <w:qFormat/>
    <w:uiPriority w:val="99"/>
    <w:rPr>
      <w:rFonts w:ascii="楷体_GB2312" w:eastAsia="楷体_GB2312"/>
      <w:kern w:val="0"/>
      <w:sz w:val="24"/>
      <w:szCs w:val="24"/>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styleId="15">
    <w:name w:val="No Spacing"/>
    <w:link w:val="16"/>
    <w:qFormat/>
    <w:uiPriority w:val="1"/>
    <w:rPr>
      <w:rFonts w:ascii="Calibri" w:hAnsi="Calibri" w:eastAsia="宋体" w:cs="Times New Roman"/>
      <w:kern w:val="0"/>
      <w:sz w:val="22"/>
      <w:szCs w:val="22"/>
      <w:lang w:val="en-US" w:eastAsia="zh-CN" w:bidi="ar-SA"/>
    </w:rPr>
  </w:style>
  <w:style w:type="character" w:customStyle="1" w:styleId="16">
    <w:name w:val="无间隔 Char"/>
    <w:basedOn w:val="10"/>
    <w:link w:val="15"/>
    <w:qFormat/>
    <w:uiPriority w:val="1"/>
    <w:rPr>
      <w:rFonts w:ascii="Calibri" w:hAnsi="Calibri" w:eastAsia="宋体" w:cs="Times New Roman"/>
      <w:kern w:val="0"/>
      <w:sz w:val="22"/>
    </w:rPr>
  </w:style>
  <w:style w:type="paragraph" w:customStyle="1" w:styleId="17">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0D9BAC-D784-4C0E-A61C-8D2496CA354D}">
  <ds:schemaRefs/>
</ds:datastoreItem>
</file>

<file path=docProps/app.xml><?xml version="1.0" encoding="utf-8"?>
<Properties xmlns="http://schemas.openxmlformats.org/officeDocument/2006/extended-properties" xmlns:vt="http://schemas.openxmlformats.org/officeDocument/2006/docPropsVTypes">
  <Template>Normal</Template>
  <Pages>9</Pages>
  <Words>3308</Words>
  <Characters>6832</Characters>
  <Lines>64</Lines>
  <Paragraphs>18</Paragraphs>
  <TotalTime>35</TotalTime>
  <ScaleCrop>false</ScaleCrop>
  <LinksUpToDate>false</LinksUpToDate>
  <CharactersWithSpaces>7899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2015-06-30T09:34:00Z</dcterms:created>
  <dc:creator>李攀桂</dc:creator>
  <cp:lastModifiedBy>千寻</cp:lastModifiedBy>
  <cp:lastPrinted>2020-06-02T06:58:00Z</cp:lastPrinted>
  <dcterms:modified xsi:type="dcterms:W3CDTF">2026-06-15T09:11:05Z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eyJoZGlkIjoiMjRmYzY1YzQxOGY5ZTYxNTA3YjAxZTRlM2NmMmZiZjYiLCJ1c2VySWQiOiI0NDcyODIxIn0=</vt:lpwstr>
  </property>
  <property fmtid="{D5CDD505-2E9C-101B-9397-08002B2CF9AE}" pid="3" name="KSOProductBuildVer">
    <vt:lpwstr>2052-12.1.0.26895</vt:lpwstr>
  </property>
  <property fmtid="{D5CDD505-2E9C-101B-9397-08002B2CF9AE}" pid="4" name="ICV">
    <vt:lpwstr>980E8C7CE2884BAB8E9A416F2CE4D676_13</vt:lpwstr>
  </property>
</Properties>
</file>