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32"/>
        </w:rPr>
        <w:t>Cloning of Human TFEB and Analysis of Its Nutrient-Dependent Subcellular Localization in HeLa Cells</w:t>
      </w:r>
    </w:p>
    <w:p>
      <w:pPr>
        <w:spacing w:after="200"/>
        <w:jc w:val="center"/>
      </w:pPr>
      <w:r>
        <w:rPr>
          <w:rFonts w:ascii="Times New Roman" w:hAnsi="Times New Roman"/>
          <w:b w:val="0"/>
          <w:i/>
          <w:sz w:val="22"/>
        </w:rPr>
        <w:t>Open-Ended Molecular Biology Experimental Design — Discussion Draft</w:t>
      </w:r>
    </w:p>
    <w:tbl>
      <w:tblPr>
        <w:tblW w:type="auto" w:w="0"/>
        <w:jc w:val="center"/>
        <w:tblLayout w:type="fixed"/>
        <w:tblLook w:firstColumn="1" w:firstRow="1" w:lastColumn="0" w:lastRow="0" w:noHBand="0" w:noVBand="1" w:val="04A0"/>
      </w:tblPr>
      <w:tblGrid>
        <w:gridCol w:w="2232"/>
        <w:gridCol w:w="7920"/>
      </w:tblGrid>
      <w:tr>
        <w:tc>
          <w:tcPr>
            <w:tcW w:type="dxa" w:w="4997"/>
            <w:shd w:fill="D9EAF7"/>
            <w:vAlign w:val="center"/>
          </w:tcPr>
          <w:p>
            <w:pPr>
              <w:spacing w:after="0"/>
            </w:pPr>
            <w:r/>
            <w:r>
              <w:rPr>
                <w:rFonts w:ascii="Times New Roman" w:hAnsi="Times New Roman"/>
                <w:b/>
                <w:i w:val="0"/>
                <w:sz w:val="20"/>
              </w:rPr>
              <w:t>Authors</w:t>
            </w:r>
          </w:p>
        </w:tc>
        <w:tc>
          <w:tcPr>
            <w:tcW w:type="dxa" w:w="4997"/>
            <w:vAlign w:val="center"/>
          </w:tcPr>
          <w:p>
            <w:pPr>
              <w:spacing w:after="0"/>
            </w:pPr>
            <w:r/>
            <w:r>
              <w:rPr>
                <w:rFonts w:ascii="Times New Roman" w:hAnsi="Times New Roman"/>
                <w:b w:val="0"/>
                <w:i w:val="0"/>
                <w:sz w:val="20"/>
              </w:rPr>
              <w:t>[Name 1] and [Name 2 / if applicable]</w:t>
            </w:r>
          </w:p>
        </w:tc>
      </w:tr>
      <w:tr>
        <w:tc>
          <w:tcPr>
            <w:tcW w:type="dxa" w:w="4997"/>
            <w:shd w:fill="D9EAF7"/>
            <w:vAlign w:val="center"/>
          </w:tcPr>
          <w:p>
            <w:pPr>
              <w:spacing w:after="0"/>
            </w:pPr>
            <w:r/>
            <w:r>
              <w:rPr>
                <w:rFonts w:ascii="Times New Roman" w:hAnsi="Times New Roman"/>
                <w:b/>
                <w:i w:val="0"/>
                <w:sz w:val="20"/>
              </w:rPr>
              <w:t>Student IDs</w:t>
            </w:r>
          </w:p>
        </w:tc>
        <w:tc>
          <w:tcPr>
            <w:tcW w:type="dxa" w:w="4997"/>
            <w:vAlign w:val="center"/>
          </w:tcPr>
          <w:p>
            <w:pPr>
              <w:spacing w:after="0"/>
            </w:pPr>
            <w:r/>
            <w:r>
              <w:rPr>
                <w:rFonts w:ascii="Times New Roman" w:hAnsi="Times New Roman"/>
                <w:b w:val="0"/>
                <w:i w:val="0"/>
                <w:sz w:val="20"/>
              </w:rPr>
              <w:t>[Student ID 1]; [Student ID 2]</w:t>
            </w:r>
          </w:p>
        </w:tc>
      </w:tr>
      <w:tr>
        <w:tc>
          <w:tcPr>
            <w:tcW w:type="dxa" w:w="4997"/>
            <w:shd w:fill="D9EAF7"/>
            <w:vAlign w:val="center"/>
          </w:tcPr>
          <w:p>
            <w:pPr>
              <w:spacing w:after="0"/>
            </w:pPr>
            <w:r/>
            <w:r>
              <w:rPr>
                <w:rFonts w:ascii="Times New Roman" w:hAnsi="Times New Roman"/>
                <w:b/>
                <w:i w:val="0"/>
                <w:sz w:val="20"/>
              </w:rPr>
              <w:t>Team contribution</w:t>
            </w:r>
          </w:p>
        </w:tc>
        <w:tc>
          <w:tcPr>
            <w:tcW w:type="dxa" w:w="4997"/>
            <w:vAlign w:val="center"/>
          </w:tcPr>
          <w:p>
            <w:pPr>
              <w:spacing w:after="0"/>
            </w:pPr>
            <w:r/>
            <w:r>
              <w:rPr>
                <w:rFonts w:ascii="Times New Roman" w:hAnsi="Times New Roman"/>
                <w:b w:val="0"/>
                <w:i w:val="0"/>
                <w:sz w:val="20"/>
              </w:rPr>
              <w:t>[To be completed after the team confirms the division of work]</w:t>
            </w:r>
          </w:p>
        </w:tc>
      </w:tr>
    </w:tbl>
    <w:p>
      <w:pPr>
        <w:pStyle w:val="Heading1"/>
        <w:spacing w:before="220" w:after="80"/>
      </w:pPr>
      <w:r>
        <w:rPr>
          <w:rFonts w:ascii="Times New Roman" w:hAnsi="Times New Roman"/>
          <w:b/>
          <w:i w:val="0"/>
          <w:sz w:val="28"/>
        </w:rPr>
        <w:t>Abstract</w:t>
      </w:r>
    </w:p>
    <w:p>
      <w:pPr>
        <w:spacing w:line="293" w:lineRule="auto" w:after="100"/>
        <w:ind w:firstLine="403"/>
      </w:pPr>
      <w:r>
        <w:rPr>
          <w:rFonts w:ascii="Times New Roman" w:hAnsi="Times New Roman"/>
          <w:b w:val="0"/>
          <w:i w:val="0"/>
          <w:sz w:val="22"/>
        </w:rPr>
        <w:t>Transcription factor EB (TFEB) is a nutrient-responsive transcription factor that coordinates autophagy and lysosomal biogenesis. This proposal will construct an N-terminal EGFP-tagged human TFEB expression plasmid and use it to visualize TFEB localization in HeLa cells under nutrient-replete, starvation, and mTOR-inhibition conditions. The central hypothesis is that nutrient deprivation or pharmacological inhibition of mTORC1 will increase nuclear accumulation of EGFP-TFEB. The construct will be generated by PCR amplification of the human TFEB coding sequence, restriction-enzyme cloning into a mammalian EGFP expression vector, bacterial screening, and Sanger sequencing. Transfected cells will be evaluated by fluorescence microscopy and immunoblotting. This is a proposed experiment only; all outcomes below are expected results rather than completed laboratory data.</w:t>
      </w:r>
    </w:p>
    <w:p>
      <w:pPr>
        <w:spacing w:line="293" w:lineRule="auto" w:after="160"/>
      </w:pPr>
      <w:r>
        <w:rPr>
          <w:rFonts w:ascii="Times New Roman" w:hAnsi="Times New Roman"/>
          <w:b w:val="0"/>
          <w:i w:val="0"/>
          <w:sz w:val="22"/>
        </w:rPr>
        <w:t>Keywords: TFEB; autophagy; lysosome; mTORC1; EGFP fusion protein; subcellular localization</w:t>
      </w:r>
    </w:p>
    <w:p>
      <w:pPr>
        <w:pStyle w:val="Heading1"/>
        <w:spacing w:before="220" w:after="80"/>
      </w:pPr>
      <w:r>
        <w:rPr>
          <w:rFonts w:ascii="Times New Roman" w:hAnsi="Times New Roman"/>
          <w:b/>
          <w:i w:val="0"/>
          <w:sz w:val="28"/>
        </w:rPr>
        <w:t>1. Rationale and Research Basis</w:t>
      </w:r>
    </w:p>
    <w:p>
      <w:pPr>
        <w:spacing w:line="293" w:lineRule="auto" w:after="100"/>
        <w:ind w:firstLine="403"/>
      </w:pPr>
      <w:r>
        <w:rPr>
          <w:rFonts w:ascii="Times New Roman" w:hAnsi="Times New Roman"/>
          <w:b w:val="0"/>
          <w:i w:val="0"/>
          <w:sz w:val="22"/>
        </w:rPr>
        <w:t>TFEB is a protein-coding gene on human chromosome 6 (NCBI Gene ID: 7942). It encodes a member of the MiT/TFE transcription-factor family and is a major transcriptional regulator of the autophagy-lysosome pathway. Under nutrient-rich conditions, active mTORC1 phosphorylates TFEB and favors its cytoplasmic retention. During nutrient starvation or mTORC1 inhibition, TFEB becomes dephosphorylated and accumulates in the nucleus, where it activates genes involved in lysosomal biogenesis and cellular clearance.</w:t>
      </w:r>
    </w:p>
    <w:p>
      <w:pPr>
        <w:spacing w:line="293" w:lineRule="auto" w:after="100"/>
        <w:ind w:firstLine="403"/>
      </w:pPr>
      <w:r>
        <w:rPr>
          <w:rFonts w:ascii="Times New Roman" w:hAnsi="Times New Roman"/>
          <w:b w:val="0"/>
          <w:i w:val="0"/>
          <w:sz w:val="22"/>
        </w:rPr>
        <w:t>This project uses TFEB as a model to connect molecular cloning with a visible cell-biological phenotype. Unlike an enzyme-production project, the primary readout is dynamic nucleo-cytoplasmic localization. The project will therefore test whether a fluorescently tagged TFEB construct preserves the expected nutrient-dependent redistribution in mammalian cells.</w:t>
      </w:r>
    </w:p>
    <w:p>
      <w:pPr>
        <w:pStyle w:val="Heading2"/>
        <w:spacing w:before="140" w:after="80"/>
      </w:pPr>
      <w:r>
        <w:rPr>
          <w:rFonts w:ascii="Times New Roman" w:hAnsi="Times New Roman"/>
          <w:b/>
          <w:i w:val="0"/>
          <w:sz w:val="24"/>
        </w:rPr>
        <w:t>Research Objective and Hypothesis</w:t>
      </w:r>
    </w:p>
    <w:p>
      <w:pPr>
        <w:pStyle w:val="ListBullet"/>
        <w:spacing w:after="40" w:line="269" w:lineRule="auto"/>
      </w:pPr>
      <w:r>
        <w:rPr>
          <w:rFonts w:ascii="Times New Roman" w:hAnsi="Times New Roman"/>
          <w:b w:val="0"/>
          <w:i w:val="0"/>
          <w:sz w:val="21"/>
        </w:rPr>
        <w:t>Objective 1: Construct and sequence-verify an EGFP-TFEB mammalian expression plasmid.</w:t>
      </w:r>
    </w:p>
    <w:p>
      <w:pPr>
        <w:pStyle w:val="ListBullet"/>
        <w:spacing w:after="40" w:line="269" w:lineRule="auto"/>
      </w:pPr>
      <w:r>
        <w:rPr>
          <w:rFonts w:ascii="Times New Roman" w:hAnsi="Times New Roman"/>
          <w:b w:val="0"/>
          <w:i w:val="0"/>
          <w:sz w:val="21"/>
        </w:rPr>
        <w:t>Objective 2: Compare EGFP-TFEB localization in HeLa cells exposed to normal medium, starvation medium, or an mTOR inhibitor.</w:t>
      </w:r>
    </w:p>
    <w:p>
      <w:pPr>
        <w:pStyle w:val="ListBullet"/>
        <w:spacing w:after="40" w:line="269" w:lineRule="auto"/>
      </w:pPr>
      <w:r>
        <w:rPr>
          <w:rFonts w:ascii="Times New Roman" w:hAnsi="Times New Roman"/>
          <w:b w:val="0"/>
          <w:i w:val="0"/>
          <w:sz w:val="21"/>
        </w:rPr>
        <w:t>Hypothesis: starvation and mTORC1 inhibition will increase the nuclear-to-cytoplasmic fluorescence ratio of EGFP-TFEB relative to untreated cells.</w:t>
      </w:r>
    </w:p>
    <w:p>
      <w:pPr>
        <w:pStyle w:val="Heading1"/>
        <w:spacing w:before="220" w:after="80"/>
      </w:pPr>
      <w:r>
        <w:rPr>
          <w:rFonts w:ascii="Times New Roman" w:hAnsi="Times New Roman"/>
          <w:b/>
          <w:i w:val="0"/>
          <w:sz w:val="28"/>
        </w:rPr>
        <w:t>2. Experimental Design</w:t>
      </w:r>
    </w:p>
    <w:p>
      <w:pPr>
        <w:pStyle w:val="Heading2"/>
        <w:spacing w:before="140" w:after="80"/>
      </w:pPr>
      <w:r>
        <w:rPr>
          <w:rFonts w:ascii="Times New Roman" w:hAnsi="Times New Roman"/>
          <w:b/>
          <w:i w:val="0"/>
          <w:sz w:val="24"/>
        </w:rPr>
        <w:t>2.1 Overall Workflow</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c>
          <w:tcPr>
            <w:tcW w:type="dxa" w:w="1526"/>
            <w:shd w:fill="1F4E79"/>
            <w:vAlign w:val="center"/>
          </w:tcPr>
          <w:p>
            <w:pPr>
              <w:spacing w:after="0"/>
            </w:pPr>
            <w:r/>
            <w:r>
              <w:rPr>
                <w:rFonts w:ascii="Times New Roman" w:hAnsi="Times New Roman"/>
                <w:b/>
                <w:i w:val="0"/>
                <w:color w:val="FFFFFF"/>
                <w:sz w:val="17"/>
              </w:rPr>
              <w:t>Sequence retrieval</w:t>
            </w:r>
          </w:p>
        </w:tc>
        <w:tc>
          <w:tcPr>
            <w:tcW w:type="dxa" w:w="1526"/>
            <w:shd w:fill="1F4E79"/>
            <w:vAlign w:val="center"/>
          </w:tcPr>
          <w:p>
            <w:pPr>
              <w:spacing w:after="0"/>
            </w:pPr>
            <w:r/>
            <w:r>
              <w:rPr>
                <w:rFonts w:ascii="Times New Roman" w:hAnsi="Times New Roman"/>
                <w:b/>
                <w:i w:val="0"/>
                <w:color w:val="FFFFFF"/>
                <w:sz w:val="17"/>
              </w:rPr>
              <w:t>Primer design</w:t>
            </w:r>
          </w:p>
        </w:tc>
        <w:tc>
          <w:tcPr>
            <w:tcW w:type="dxa" w:w="1526"/>
            <w:shd w:fill="1F4E79"/>
            <w:vAlign w:val="center"/>
          </w:tcPr>
          <w:p>
            <w:pPr>
              <w:spacing w:after="0"/>
            </w:pPr>
            <w:r/>
            <w:r>
              <w:rPr>
                <w:rFonts w:ascii="Times New Roman" w:hAnsi="Times New Roman"/>
                <w:b/>
                <w:i w:val="0"/>
                <w:color w:val="FFFFFF"/>
                <w:sz w:val="17"/>
              </w:rPr>
              <w:t>PCR and cloning</w:t>
            </w:r>
          </w:p>
        </w:tc>
        <w:tc>
          <w:tcPr>
            <w:tcW w:type="dxa" w:w="1526"/>
            <w:shd w:fill="1F4E79"/>
            <w:vAlign w:val="center"/>
          </w:tcPr>
          <w:p>
            <w:pPr>
              <w:spacing w:after="0"/>
            </w:pPr>
            <w:r/>
            <w:r>
              <w:rPr>
                <w:rFonts w:ascii="Times New Roman" w:hAnsi="Times New Roman"/>
                <w:b/>
                <w:i w:val="0"/>
                <w:color w:val="FFFFFF"/>
                <w:sz w:val="17"/>
              </w:rPr>
              <w:t>Clone verification</w:t>
            </w:r>
          </w:p>
        </w:tc>
        <w:tc>
          <w:tcPr>
            <w:tcW w:type="dxa" w:w="1526"/>
            <w:shd w:fill="1F4E79"/>
            <w:vAlign w:val="center"/>
          </w:tcPr>
          <w:p>
            <w:pPr>
              <w:spacing w:after="0"/>
            </w:pPr>
            <w:r/>
            <w:r>
              <w:rPr>
                <w:rFonts w:ascii="Times New Roman" w:hAnsi="Times New Roman"/>
                <w:b/>
                <w:i w:val="0"/>
                <w:color w:val="FFFFFF"/>
                <w:sz w:val="17"/>
              </w:rPr>
              <w:t>Cell transfection</w:t>
            </w:r>
          </w:p>
        </w:tc>
        <w:tc>
          <w:tcPr>
            <w:tcW w:type="dxa" w:w="1526"/>
            <w:shd w:fill="1F4E79"/>
            <w:vAlign w:val="center"/>
          </w:tcPr>
          <w:p>
            <w:pPr>
              <w:spacing w:after="0"/>
            </w:pPr>
            <w:r/>
            <w:r>
              <w:rPr>
                <w:rFonts w:ascii="Times New Roman" w:hAnsi="Times New Roman"/>
                <w:b/>
                <w:i w:val="0"/>
                <w:color w:val="FFFFFF"/>
                <w:sz w:val="17"/>
              </w:rPr>
              <w:t>Localization analysis</w:t>
            </w:r>
          </w:p>
        </w:tc>
      </w:tr>
      <w:tr>
        <w:tc>
          <w:tcPr>
            <w:tcW w:type="dxa" w:w="1526"/>
            <w:vAlign w:val="center"/>
          </w:tcPr>
          <w:p>
            <w:pPr>
              <w:spacing w:after="0"/>
            </w:pPr>
            <w:r/>
            <w:r>
              <w:rPr>
                <w:rFonts w:ascii="Times New Roman" w:hAnsi="Times New Roman"/>
                <w:b/>
                <w:i w:val="0"/>
                <w:sz w:val="26"/>
              </w:rPr>
              <w:t>→</w:t>
            </w:r>
          </w:p>
        </w:tc>
        <w:tc>
          <w:tcPr>
            <w:tcW w:type="dxa" w:w="1526"/>
            <w:vAlign w:val="center"/>
          </w:tcPr>
          <w:p>
            <w:pPr>
              <w:spacing w:after="0"/>
            </w:pPr>
            <w:r/>
            <w:r>
              <w:rPr>
                <w:rFonts w:ascii="Times New Roman" w:hAnsi="Times New Roman"/>
                <w:b/>
                <w:i w:val="0"/>
                <w:sz w:val="26"/>
              </w:rPr>
              <w:t>→</w:t>
            </w:r>
          </w:p>
        </w:tc>
        <w:tc>
          <w:tcPr>
            <w:tcW w:type="dxa" w:w="1526"/>
            <w:vAlign w:val="center"/>
          </w:tcPr>
          <w:p>
            <w:pPr>
              <w:spacing w:after="0"/>
            </w:pPr>
            <w:r/>
            <w:r>
              <w:rPr>
                <w:rFonts w:ascii="Times New Roman" w:hAnsi="Times New Roman"/>
                <w:b/>
                <w:i w:val="0"/>
                <w:sz w:val="26"/>
              </w:rPr>
              <w:t>→</w:t>
            </w:r>
          </w:p>
        </w:tc>
        <w:tc>
          <w:tcPr>
            <w:tcW w:type="dxa" w:w="1526"/>
            <w:vAlign w:val="center"/>
          </w:tcPr>
          <w:p>
            <w:pPr>
              <w:spacing w:after="0"/>
            </w:pPr>
            <w:r/>
            <w:r>
              <w:rPr>
                <w:rFonts w:ascii="Times New Roman" w:hAnsi="Times New Roman"/>
                <w:b/>
                <w:i w:val="0"/>
                <w:sz w:val="26"/>
              </w:rPr>
              <w:t>→</w:t>
            </w:r>
          </w:p>
        </w:tc>
        <w:tc>
          <w:tcPr>
            <w:tcW w:type="dxa" w:w="1526"/>
            <w:vAlign w:val="center"/>
          </w:tcPr>
          <w:p>
            <w:pPr>
              <w:spacing w:after="0"/>
            </w:pPr>
            <w:r/>
            <w:r>
              <w:rPr>
                <w:rFonts w:ascii="Times New Roman" w:hAnsi="Times New Roman"/>
                <w:b/>
                <w:i w:val="0"/>
                <w:sz w:val="26"/>
              </w:rPr>
              <w:t>→</w:t>
            </w:r>
          </w:p>
        </w:tc>
        <w:tc>
          <w:tcPr>
            <w:tcW w:type="dxa" w:w="1526"/>
            <w:vAlign w:val="center"/>
          </w:tcPr>
          <w:p>
            <w:pPr>
              <w:spacing w:after="0"/>
            </w:pPr>
            <w:r/>
            <w:r>
              <w:rPr>
                <w:rFonts w:ascii="Times New Roman" w:hAnsi="Times New Roman"/>
                <w:b/>
                <w:i w:val="0"/>
                <w:sz w:val="26"/>
              </w:rPr>
              <w:t>→</w:t>
            </w:r>
          </w:p>
        </w:tc>
      </w:tr>
    </w:tbl>
    <w:p>
      <w:pPr>
        <w:pStyle w:val="Heading2"/>
        <w:spacing w:before="140" w:after="80"/>
      </w:pPr>
      <w:r>
        <w:rPr>
          <w:rFonts w:ascii="Times New Roman" w:hAnsi="Times New Roman"/>
          <w:b/>
          <w:i w:val="0"/>
          <w:sz w:val="24"/>
        </w:rPr>
        <w:t>2.2 Construct Strategy and Plasmid Features</w:t>
      </w:r>
    </w:p>
    <w:p>
      <w:pPr>
        <w:spacing w:line="293" w:lineRule="auto" w:after="100"/>
        <w:ind w:firstLine="403"/>
      </w:pPr>
      <w:r>
        <w:rPr>
          <w:rFonts w:ascii="Times New Roman" w:hAnsi="Times New Roman"/>
          <w:b w:val="0"/>
          <w:i w:val="0"/>
          <w:sz w:val="22"/>
        </w:rPr>
        <w:t>The working construct will be designed as CMV promoter–EGFP–flexible linker–TFEB coding sequence–polyadenylation signal. An N-terminal EGFP fusion is proposed so that the TFEB C-terminal DNA-binding and activation regions are not directly fused to the fluorophore. The TFEB stop codon will be omitted from the insert so that the EGFP-TFEB open reading frame remains continuous. The final vector is planned as pEGFP-C1-TFEB or an equivalent CMV-driven mammalian EGFP vector, subject to availability and an in-silico sequence check.</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c>
          <w:tcPr>
            <w:tcW w:type="dxa" w:w="1526"/>
            <w:shd w:fill="EAF2F8"/>
            <w:vAlign w:val="center"/>
          </w:tcPr>
          <w:p>
            <w:pPr>
              <w:spacing w:after="0"/>
            </w:pPr>
            <w:r/>
            <w:r>
              <w:rPr>
                <w:rFonts w:ascii="Times New Roman" w:hAnsi="Times New Roman"/>
                <w:b/>
                <w:i w:val="0"/>
                <w:sz w:val="16"/>
              </w:rPr>
              <w:t>CMV promoter</w:t>
            </w:r>
          </w:p>
        </w:tc>
        <w:tc>
          <w:tcPr>
            <w:tcW w:type="dxa" w:w="1526"/>
            <w:shd w:fill="EAF2F8"/>
            <w:vAlign w:val="center"/>
          </w:tcPr>
          <w:p>
            <w:pPr>
              <w:spacing w:after="0"/>
            </w:pPr>
            <w:r/>
            <w:r>
              <w:rPr>
                <w:rFonts w:ascii="Times New Roman" w:hAnsi="Times New Roman"/>
                <w:b/>
                <w:i w:val="0"/>
                <w:sz w:val="16"/>
              </w:rPr>
              <w:t>EGFP</w:t>
            </w:r>
          </w:p>
        </w:tc>
        <w:tc>
          <w:tcPr>
            <w:tcW w:type="dxa" w:w="1526"/>
            <w:shd w:fill="EAF2F8"/>
            <w:vAlign w:val="center"/>
          </w:tcPr>
          <w:p>
            <w:pPr>
              <w:spacing w:after="0"/>
            </w:pPr>
            <w:r/>
            <w:r>
              <w:rPr>
                <w:rFonts w:ascii="Times New Roman" w:hAnsi="Times New Roman"/>
                <w:b/>
                <w:i w:val="0"/>
                <w:sz w:val="16"/>
              </w:rPr>
              <w:t>Linker</w:t>
            </w:r>
          </w:p>
        </w:tc>
        <w:tc>
          <w:tcPr>
            <w:tcW w:type="dxa" w:w="1526"/>
            <w:shd w:fill="EAF2F8"/>
            <w:vAlign w:val="center"/>
          </w:tcPr>
          <w:p>
            <w:pPr>
              <w:spacing w:after="0"/>
            </w:pPr>
            <w:r/>
            <w:r>
              <w:rPr>
                <w:rFonts w:ascii="Times New Roman" w:hAnsi="Times New Roman"/>
                <w:b/>
                <w:i w:val="0"/>
                <w:sz w:val="16"/>
              </w:rPr>
              <w:t>Human TFEB CDS</w:t>
            </w:r>
          </w:p>
        </w:tc>
        <w:tc>
          <w:tcPr>
            <w:tcW w:type="dxa" w:w="1526"/>
            <w:shd w:fill="EAF2F8"/>
            <w:vAlign w:val="center"/>
          </w:tcPr>
          <w:p>
            <w:pPr>
              <w:spacing w:after="0"/>
            </w:pPr>
            <w:r/>
            <w:r>
              <w:rPr>
                <w:rFonts w:ascii="Times New Roman" w:hAnsi="Times New Roman"/>
                <w:b/>
                <w:i w:val="0"/>
                <w:sz w:val="16"/>
              </w:rPr>
              <w:t>SV40 poly(A)</w:t>
            </w:r>
          </w:p>
        </w:tc>
        <w:tc>
          <w:tcPr>
            <w:tcW w:type="dxa" w:w="1526"/>
            <w:shd w:fill="FCE4D6"/>
            <w:vAlign w:val="center"/>
          </w:tcPr>
          <w:p>
            <w:pPr>
              <w:spacing w:after="0"/>
            </w:pPr>
            <w:r/>
            <w:r>
              <w:rPr>
                <w:rFonts w:ascii="Times New Roman" w:hAnsi="Times New Roman"/>
                <w:b/>
                <w:i w:val="0"/>
                <w:sz w:val="16"/>
              </w:rPr>
              <w:t>KanR / neoR and bacterial ori</w:t>
            </w:r>
          </w:p>
        </w:tc>
      </w:tr>
    </w:tbl>
    <w:p>
      <w:pPr>
        <w:jc w:val="center"/>
      </w:pPr>
      <w:r>
        <w:rPr>
          <w:rFonts w:ascii="Times New Roman" w:hAnsi="Times New Roman"/>
          <w:b w:val="0"/>
          <w:i/>
          <w:sz w:val="18"/>
        </w:rPr>
        <w:t>Figure 1. Preliminary schematic of the proposed EGFP-TFEB expression plasmid. A final circular plasmid map with restriction sites and feature positions will be generated in ApE or SnapGene after the backbone is confirmed.</w:t>
      </w:r>
    </w:p>
    <w:p>
      <w:pPr>
        <w:pStyle w:val="Heading2"/>
        <w:spacing w:before="140" w:after="80"/>
      </w:pPr>
      <w:r>
        <w:rPr>
          <w:rFonts w:ascii="Times New Roman" w:hAnsi="Times New Roman"/>
          <w:b/>
          <w:i w:val="0"/>
          <w:sz w:val="24"/>
        </w:rPr>
        <w:t>2.3 Materials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Pr>
          <w:p>
            <w:pPr>
              <w:spacing w:after="0"/>
            </w:pPr>
            <w:r/>
            <w:r>
              <w:rPr>
                <w:rFonts w:ascii="Times New Roman" w:hAnsi="Times New Roman"/>
                <w:b/>
                <w:i w:val="0"/>
                <w:color w:val="FFFFFF"/>
                <w:sz w:val="18"/>
              </w:rPr>
              <w:t>Category</w:t>
            </w:r>
          </w:p>
        </w:tc>
        <w:tc>
          <w:tcPr>
            <w:tcW w:type="dxa" w:w="3331"/>
            <w:shd w:fill="1F4E79"/>
            <w:vAlign w:val="center"/>
          </w:tcPr>
          <w:p>
            <w:pPr>
              <w:spacing w:after="0"/>
            </w:pPr>
            <w:r/>
            <w:r>
              <w:rPr>
                <w:rFonts w:ascii="Times New Roman" w:hAnsi="Times New Roman"/>
                <w:b/>
                <w:i w:val="0"/>
                <w:color w:val="FFFFFF"/>
                <w:sz w:val="18"/>
              </w:rPr>
              <w:t>Planned material</w:t>
            </w:r>
          </w:p>
        </w:tc>
        <w:tc>
          <w:tcPr>
            <w:tcW w:type="dxa" w:w="3331"/>
            <w:shd w:fill="1F4E79"/>
            <w:vAlign w:val="center"/>
          </w:tcPr>
          <w:p>
            <w:pPr>
              <w:spacing w:after="0"/>
            </w:pPr>
            <w:r/>
            <w:r>
              <w:rPr>
                <w:rFonts w:ascii="Times New Roman" w:hAnsi="Times New Roman"/>
                <w:b/>
                <w:i w:val="0"/>
                <w:color w:val="FFFFFF"/>
                <w:sz w:val="18"/>
              </w:rPr>
              <w:t>Purpose</w:t>
            </w:r>
          </w:p>
        </w:tc>
      </w:tr>
      <w:tr>
        <w:tc>
          <w:tcPr>
            <w:tcW w:type="dxa" w:w="3331"/>
            <w:vAlign w:val="center"/>
          </w:tcPr>
          <w:p>
            <w:pPr>
              <w:spacing w:after="0"/>
            </w:pPr>
            <w:r/>
            <w:r>
              <w:rPr>
                <w:rFonts w:ascii="Times New Roman" w:hAnsi="Times New Roman"/>
                <w:b w:val="0"/>
                <w:i w:val="0"/>
                <w:sz w:val="17"/>
              </w:rPr>
              <w:t>Sequence and vector</w:t>
            </w:r>
          </w:p>
        </w:tc>
        <w:tc>
          <w:tcPr>
            <w:tcW w:type="dxa" w:w="3331"/>
            <w:vAlign w:val="center"/>
          </w:tcPr>
          <w:p>
            <w:pPr>
              <w:spacing w:after="0"/>
            </w:pPr>
            <w:r/>
            <w:r>
              <w:rPr>
                <w:rFonts w:ascii="Times New Roman" w:hAnsi="Times New Roman"/>
                <w:b w:val="0"/>
                <w:i w:val="0"/>
                <w:sz w:val="17"/>
              </w:rPr>
              <w:t>Human TFEB reference CDS; pEGFP-C1 or equivalent</w:t>
            </w:r>
          </w:p>
        </w:tc>
        <w:tc>
          <w:tcPr>
            <w:tcW w:type="dxa" w:w="3331"/>
            <w:vAlign w:val="center"/>
          </w:tcPr>
          <w:p>
            <w:pPr>
              <w:spacing w:after="0"/>
            </w:pPr>
            <w:r/>
            <w:r>
              <w:rPr>
                <w:rFonts w:ascii="Times New Roman" w:hAnsi="Times New Roman"/>
                <w:b w:val="0"/>
                <w:i w:val="0"/>
                <w:sz w:val="17"/>
              </w:rPr>
              <w:t>Design of an EGFP-TFEB fusion construct</w:t>
            </w:r>
          </w:p>
        </w:tc>
      </w:tr>
      <w:tr>
        <w:tc>
          <w:tcPr>
            <w:tcW w:type="dxa" w:w="3331"/>
            <w:vAlign w:val="center"/>
          </w:tcPr>
          <w:p>
            <w:pPr>
              <w:spacing w:after="0"/>
            </w:pPr>
            <w:r/>
            <w:r>
              <w:rPr>
                <w:rFonts w:ascii="Times New Roman" w:hAnsi="Times New Roman"/>
                <w:b w:val="0"/>
                <w:i w:val="0"/>
                <w:sz w:val="17"/>
              </w:rPr>
              <w:t>Bacterial work</w:t>
            </w:r>
          </w:p>
        </w:tc>
        <w:tc>
          <w:tcPr>
            <w:tcW w:type="dxa" w:w="3331"/>
            <w:vAlign w:val="center"/>
          </w:tcPr>
          <w:p>
            <w:pPr>
              <w:spacing w:after="0"/>
            </w:pPr>
            <w:r/>
            <w:r>
              <w:rPr>
                <w:rFonts w:ascii="Times New Roman" w:hAnsi="Times New Roman"/>
                <w:b w:val="0"/>
                <w:i w:val="0"/>
                <w:sz w:val="17"/>
              </w:rPr>
              <w:t>E. coli DH5α; LB agar/medium; kanamycin</w:t>
            </w:r>
          </w:p>
        </w:tc>
        <w:tc>
          <w:tcPr>
            <w:tcW w:type="dxa" w:w="3331"/>
            <w:vAlign w:val="center"/>
          </w:tcPr>
          <w:p>
            <w:pPr>
              <w:spacing w:after="0"/>
            </w:pPr>
            <w:r/>
            <w:r>
              <w:rPr>
                <w:rFonts w:ascii="Times New Roman" w:hAnsi="Times New Roman"/>
                <w:b w:val="0"/>
                <w:i w:val="0"/>
                <w:sz w:val="17"/>
              </w:rPr>
              <w:t>Amplification and selection of recombinant plasmids</w:t>
            </w:r>
          </w:p>
        </w:tc>
      </w:tr>
      <w:tr>
        <w:tc>
          <w:tcPr>
            <w:tcW w:type="dxa" w:w="3331"/>
            <w:vAlign w:val="center"/>
          </w:tcPr>
          <w:p>
            <w:pPr>
              <w:spacing w:after="0"/>
            </w:pPr>
            <w:r/>
            <w:r>
              <w:rPr>
                <w:rFonts w:ascii="Times New Roman" w:hAnsi="Times New Roman"/>
                <w:b w:val="0"/>
                <w:i w:val="0"/>
                <w:sz w:val="17"/>
              </w:rPr>
              <w:t>Mammalian work</w:t>
            </w:r>
          </w:p>
        </w:tc>
        <w:tc>
          <w:tcPr>
            <w:tcW w:type="dxa" w:w="3331"/>
            <w:vAlign w:val="center"/>
          </w:tcPr>
          <w:p>
            <w:pPr>
              <w:spacing w:after="0"/>
            </w:pPr>
            <w:r/>
            <w:r>
              <w:rPr>
                <w:rFonts w:ascii="Times New Roman" w:hAnsi="Times New Roman"/>
                <w:b w:val="0"/>
                <w:i w:val="0"/>
                <w:sz w:val="17"/>
              </w:rPr>
              <w:t>HeLa cells; complete DMEM; transfection reagent</w:t>
            </w:r>
          </w:p>
        </w:tc>
        <w:tc>
          <w:tcPr>
            <w:tcW w:type="dxa" w:w="3331"/>
            <w:vAlign w:val="center"/>
          </w:tcPr>
          <w:p>
            <w:pPr>
              <w:spacing w:after="0"/>
            </w:pPr>
            <w:r/>
            <w:r>
              <w:rPr>
                <w:rFonts w:ascii="Times New Roman" w:hAnsi="Times New Roman"/>
                <w:b w:val="0"/>
                <w:i w:val="0"/>
                <w:sz w:val="17"/>
              </w:rPr>
              <w:t>Transient expression of EGFP-TFEB</w:t>
            </w:r>
          </w:p>
        </w:tc>
      </w:tr>
      <w:tr>
        <w:tc>
          <w:tcPr>
            <w:tcW w:type="dxa" w:w="3331"/>
            <w:vAlign w:val="center"/>
          </w:tcPr>
          <w:p>
            <w:pPr>
              <w:spacing w:after="0"/>
            </w:pPr>
            <w:r/>
            <w:r>
              <w:rPr>
                <w:rFonts w:ascii="Times New Roman" w:hAnsi="Times New Roman"/>
                <w:b w:val="0"/>
                <w:i w:val="0"/>
                <w:sz w:val="17"/>
              </w:rPr>
              <w:t>Treatments</w:t>
            </w:r>
          </w:p>
        </w:tc>
        <w:tc>
          <w:tcPr>
            <w:tcW w:type="dxa" w:w="3331"/>
            <w:vAlign w:val="center"/>
          </w:tcPr>
          <w:p>
            <w:pPr>
              <w:spacing w:after="0"/>
            </w:pPr>
            <w:r/>
            <w:r>
              <w:rPr>
                <w:rFonts w:ascii="Times New Roman" w:hAnsi="Times New Roman"/>
                <w:b w:val="0"/>
                <w:i w:val="0"/>
                <w:sz w:val="17"/>
              </w:rPr>
              <w:t>EBSS or amino-acid-free medium; Torin1 or equivalent</w:t>
            </w:r>
          </w:p>
        </w:tc>
        <w:tc>
          <w:tcPr>
            <w:tcW w:type="dxa" w:w="3331"/>
            <w:vAlign w:val="center"/>
          </w:tcPr>
          <w:p>
            <w:pPr>
              <w:spacing w:after="0"/>
            </w:pPr>
            <w:r/>
            <w:r>
              <w:rPr>
                <w:rFonts w:ascii="Times New Roman" w:hAnsi="Times New Roman"/>
                <w:b w:val="0"/>
                <w:i w:val="0"/>
                <w:sz w:val="17"/>
              </w:rPr>
              <w:t>Induction of nutrient- and mTOR-dependent TFEB redistribution</w:t>
            </w:r>
          </w:p>
        </w:tc>
      </w:tr>
      <w:tr>
        <w:tc>
          <w:tcPr>
            <w:tcW w:type="dxa" w:w="3331"/>
            <w:vAlign w:val="center"/>
          </w:tcPr>
          <w:p>
            <w:pPr>
              <w:spacing w:after="0"/>
            </w:pPr>
            <w:r/>
            <w:r>
              <w:rPr>
                <w:rFonts w:ascii="Times New Roman" w:hAnsi="Times New Roman"/>
                <w:b w:val="0"/>
                <w:i w:val="0"/>
                <w:sz w:val="17"/>
              </w:rPr>
              <w:t>Detection</w:t>
            </w:r>
          </w:p>
        </w:tc>
        <w:tc>
          <w:tcPr>
            <w:tcW w:type="dxa" w:w="3331"/>
            <w:vAlign w:val="center"/>
          </w:tcPr>
          <w:p>
            <w:pPr>
              <w:spacing w:after="0"/>
            </w:pPr>
            <w:r/>
            <w:r>
              <w:rPr>
                <w:rFonts w:ascii="Times New Roman" w:hAnsi="Times New Roman"/>
                <w:b w:val="0"/>
                <w:i w:val="0"/>
                <w:sz w:val="17"/>
              </w:rPr>
              <w:t>DAPI; anti-GFP antibody; fluorescence microscope</w:t>
            </w:r>
          </w:p>
        </w:tc>
        <w:tc>
          <w:tcPr>
            <w:tcW w:type="dxa" w:w="3331"/>
            <w:vAlign w:val="center"/>
          </w:tcPr>
          <w:p>
            <w:pPr>
              <w:spacing w:after="0"/>
            </w:pPr>
            <w:r/>
            <w:r>
              <w:rPr>
                <w:rFonts w:ascii="Times New Roman" w:hAnsi="Times New Roman"/>
                <w:b w:val="0"/>
                <w:i w:val="0"/>
                <w:sz w:val="17"/>
              </w:rPr>
              <w:t>Nuclear localization and expression validation</w:t>
            </w:r>
          </w:p>
        </w:tc>
      </w:tr>
    </w:tbl>
    <w:p>
      <w:pPr>
        <w:pStyle w:val="Heading2"/>
        <w:spacing w:before="140" w:after="80"/>
      </w:pPr>
      <w:r>
        <w:rPr>
          <w:rFonts w:ascii="Times New Roman" w:hAnsi="Times New Roman"/>
          <w:b/>
          <w:i w:val="0"/>
          <w:sz w:val="24"/>
        </w:rPr>
        <w:t>2.4 Planned Molecular Biology Procedures</w:t>
      </w:r>
    </w:p>
    <w:p>
      <w:pPr>
        <w:pStyle w:val="Heading3"/>
        <w:spacing w:before="140" w:after="80"/>
      </w:pPr>
      <w:r>
        <w:rPr>
          <w:rFonts w:ascii="Times New Roman" w:hAnsi="Times New Roman"/>
          <w:b/>
          <w:i w:val="0"/>
          <w:sz w:val="24"/>
        </w:rPr>
        <w:t>2.4.1 Sequence Retrieval and Primer Design</w:t>
      </w:r>
    </w:p>
    <w:p>
      <w:pPr>
        <w:spacing w:line="293" w:lineRule="auto" w:after="100"/>
        <w:ind w:firstLine="403"/>
      </w:pPr>
      <w:r>
        <w:rPr>
          <w:rFonts w:ascii="Times New Roman" w:hAnsi="Times New Roman"/>
          <w:b w:val="0"/>
          <w:i w:val="0"/>
          <w:sz w:val="22"/>
        </w:rPr>
        <w:t>A validated human TFEB transcript and coding sequence will be downloaded from NCBI RefSeq. The final primer pair will be written 5′→3′ and designed only after the exact plasmid sequence has been imported into ApE or SnapGene. The forward primer will include 4–6 protective bases followed by an upstream restriction site and TFEB-specific sequence. The reverse primer will include 4–6 protective bases, a downstream restriction site, and the reverse-complement TFEB-specific sequence, while excluding the native stop codon. Primer length, GC content, melting temperature, potential dimers, and internal restriction sites will be checked in silico. The selected enzyme pair must cut the backbone once each and not cut within the TFEB insert.</w:t>
      </w:r>
    </w:p>
    <w:p>
      <w:pPr>
        <w:pStyle w:val="Heading3"/>
        <w:spacing w:before="140" w:after="80"/>
      </w:pPr>
      <w:r>
        <w:rPr>
          <w:rFonts w:ascii="Times New Roman" w:hAnsi="Times New Roman"/>
          <w:b/>
          <w:i w:val="0"/>
          <w:sz w:val="24"/>
        </w:rPr>
        <w:t>2.4.2 PCR Amplification and Restriction Cloning</w:t>
      </w:r>
    </w:p>
    <w:p>
      <w:pPr>
        <w:spacing w:line="293" w:lineRule="auto" w:after="100"/>
        <w:ind w:firstLine="403"/>
      </w:pPr>
      <w:r>
        <w:rPr>
          <w:rFonts w:ascii="Times New Roman" w:hAnsi="Times New Roman"/>
          <w:b w:val="0"/>
          <w:i w:val="0"/>
          <w:sz w:val="22"/>
        </w:rPr>
        <w:t>High-fidelity DNA polymerase will be used to amplify the TFEB insert. A no-template control and a positive amplification control will be included. The purified PCR product and EGFP vector backbone will be double-digested with the selected restriction enzymes, gel-purified, ligated at an insert-to-vector molar ratio of approximately 3:1, and transformed into chemically competent E. coli DH5α. Kanamycin selection will be used only if the finalized vector map confirms a kanamycin-resistance cassette.</w:t>
      </w:r>
    </w:p>
    <w:p>
      <w:pPr>
        <w:pStyle w:val="Heading3"/>
        <w:spacing w:before="140" w:after="80"/>
      </w:pPr>
      <w:r>
        <w:rPr>
          <w:rFonts w:ascii="Times New Roman" w:hAnsi="Times New Roman"/>
          <w:b/>
          <w:i w:val="0"/>
          <w:sz w:val="24"/>
        </w:rPr>
        <w:t>2.4.3 Clone Screening and Sequence Verification</w:t>
      </w:r>
    </w:p>
    <w:p>
      <w:pPr>
        <w:spacing w:line="293" w:lineRule="auto" w:after="100"/>
        <w:ind w:firstLine="403"/>
      </w:pPr>
      <w:r>
        <w:rPr>
          <w:rFonts w:ascii="Times New Roman" w:hAnsi="Times New Roman"/>
          <w:b w:val="0"/>
          <w:i w:val="0"/>
          <w:sz w:val="22"/>
        </w:rPr>
        <w:t>Several colonies will be screened by colony PCR and/or diagnostic digestion. Plasmid DNA from candidate clones will be purified and verified by Sanger sequencing from vector-flanking primers and, if required, internal TFEB primers. A clone will be accepted only if the entire insert, both junctions, and the EGFP-TFEB reading frame match the intended sequence without unintended substitutions, insertions, or deletions.</w:t>
      </w:r>
    </w:p>
    <w:p>
      <w:pPr>
        <w:pStyle w:val="Heading3"/>
        <w:spacing w:before="140" w:after="80"/>
      </w:pPr>
      <w:r>
        <w:rPr>
          <w:rFonts w:ascii="Times New Roman" w:hAnsi="Times New Roman"/>
          <w:b/>
          <w:i w:val="0"/>
          <w:sz w:val="24"/>
        </w:rPr>
        <w:t>2.4.4 Transfection and Localization Assay</w:t>
      </w:r>
    </w:p>
    <w:p>
      <w:pPr>
        <w:spacing w:line="293" w:lineRule="auto" w:after="100"/>
        <w:ind w:firstLine="403"/>
      </w:pPr>
      <w:r>
        <w:rPr>
          <w:rFonts w:ascii="Times New Roman" w:hAnsi="Times New Roman"/>
          <w:b w:val="0"/>
          <w:i w:val="0"/>
          <w:sz w:val="22"/>
        </w:rPr>
        <w:t>Sequence-verified plasmid will be transiently transfected into HeLa cells. Cells will be assigned to vehicle-treated, starvation, and mTOR-inhibitor conditions. After treatment, cells will be fixed and counterstained with DAPI. EGFP-TFEB localization will be recorded by fluorescence microscopy. At least three independent experiments will be planned, with a prespecified number of transfected cells analyzed per condition. Empty EGFP vector and mock-transfected cells will serve as controls.</w:t>
      </w:r>
    </w:p>
    <w:p>
      <w:pPr>
        <w:pStyle w:val="Heading3"/>
        <w:spacing w:before="140" w:after="80"/>
      </w:pPr>
      <w:r>
        <w:rPr>
          <w:rFonts w:ascii="Times New Roman" w:hAnsi="Times New Roman"/>
          <w:b/>
          <w:i w:val="0"/>
          <w:sz w:val="24"/>
        </w:rPr>
        <w:t>2.4.5 Quantification and Expression Validation</w:t>
      </w:r>
    </w:p>
    <w:p>
      <w:pPr>
        <w:spacing w:line="293" w:lineRule="auto" w:after="100"/>
        <w:ind w:firstLine="403"/>
      </w:pPr>
      <w:r>
        <w:rPr>
          <w:rFonts w:ascii="Times New Roman" w:hAnsi="Times New Roman"/>
          <w:b w:val="0"/>
          <w:i w:val="0"/>
          <w:sz w:val="22"/>
        </w:rPr>
        <w:t>For each transfected cell, mean EGFP intensity will be measured in a DAPI-defined nuclear region and in a cytoplasmic region. The nuclear-to-cytoplasmic ratio (N/C ratio) will be calculated as nuclear mean intensity divided by cytoplasmic mean intensity. Group differences will be analyzed using one-way ANOVA followed by an appropriate multiple-comparison test. An anti-GFP Western blot will be used to confirm expression of a band consistent with the expected EGFP-TFEB fusion-protein size.</w:t>
      </w:r>
    </w:p>
    <w:p>
      <w:pPr>
        <w:pStyle w:val="Heading1"/>
        <w:spacing w:before="220" w:after="80"/>
      </w:pPr>
      <w:r>
        <w:rPr>
          <w:rFonts w:ascii="Times New Roman" w:hAnsi="Times New Roman"/>
          <w:b/>
          <w:i w:val="0"/>
          <w:sz w:val="28"/>
        </w:rPr>
        <w:t>3. Expected Results and Criteria for Success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vAlign w:val="center"/>
          </w:tcPr>
          <w:p>
            <w:pPr>
              <w:spacing w:after="0"/>
            </w:pPr>
            <w:r/>
            <w:r>
              <w:rPr>
                <w:rFonts w:ascii="Times New Roman" w:hAnsi="Times New Roman"/>
                <w:b/>
                <w:i w:val="0"/>
                <w:color w:val="FFFFFF"/>
                <w:sz w:val="18"/>
              </w:rPr>
              <w:t>Stage</w:t>
            </w:r>
          </w:p>
        </w:tc>
        <w:tc>
          <w:tcPr>
            <w:tcW w:type="dxa" w:w="3331"/>
            <w:shd w:fill="1F4E79"/>
            <w:vAlign w:val="center"/>
          </w:tcPr>
          <w:p>
            <w:pPr>
              <w:spacing w:after="0"/>
            </w:pPr>
            <w:r/>
            <w:r>
              <w:rPr>
                <w:rFonts w:ascii="Times New Roman" w:hAnsi="Times New Roman"/>
                <w:b/>
                <w:i w:val="0"/>
                <w:color w:val="FFFFFF"/>
                <w:sz w:val="18"/>
              </w:rPr>
              <w:t>Expected observation</w:t>
            </w:r>
          </w:p>
        </w:tc>
        <w:tc>
          <w:tcPr>
            <w:tcW w:type="dxa" w:w="3331"/>
            <w:shd w:fill="1F4E79"/>
            <w:vAlign w:val="center"/>
          </w:tcPr>
          <w:p>
            <w:pPr>
              <w:spacing w:after="0"/>
            </w:pPr>
            <w:r/>
            <w:r>
              <w:rPr>
                <w:rFonts w:ascii="Times New Roman" w:hAnsi="Times New Roman"/>
                <w:b/>
                <w:i w:val="0"/>
                <w:color w:val="FFFFFF"/>
                <w:sz w:val="18"/>
              </w:rPr>
              <w:t>Success criterion</w:t>
            </w:r>
          </w:p>
        </w:tc>
      </w:tr>
      <w:tr>
        <w:tc>
          <w:tcPr>
            <w:tcW w:type="dxa" w:w="3331"/>
            <w:vAlign w:val="center"/>
          </w:tcPr>
          <w:p>
            <w:pPr>
              <w:spacing w:after="0"/>
            </w:pPr>
            <w:r/>
            <w:r>
              <w:rPr>
                <w:rFonts w:ascii="Times New Roman" w:hAnsi="Times New Roman"/>
                <w:b w:val="0"/>
                <w:i w:val="0"/>
                <w:sz w:val="17"/>
              </w:rPr>
              <w:t>TFEB PCR</w:t>
            </w:r>
          </w:p>
        </w:tc>
        <w:tc>
          <w:tcPr>
            <w:tcW w:type="dxa" w:w="3331"/>
            <w:vAlign w:val="center"/>
          </w:tcPr>
          <w:p>
            <w:pPr>
              <w:spacing w:after="0"/>
            </w:pPr>
            <w:r/>
            <w:r>
              <w:rPr>
                <w:rFonts w:ascii="Times New Roman" w:hAnsi="Times New Roman"/>
                <w:b w:val="0"/>
                <w:i w:val="0"/>
                <w:sz w:val="17"/>
              </w:rPr>
              <w:t>A single band at the predicted TFEB insert size</w:t>
            </w:r>
          </w:p>
        </w:tc>
        <w:tc>
          <w:tcPr>
            <w:tcW w:type="dxa" w:w="3331"/>
            <w:vAlign w:val="center"/>
          </w:tcPr>
          <w:p>
            <w:pPr>
              <w:spacing w:after="0"/>
            </w:pPr>
            <w:r/>
            <w:r>
              <w:rPr>
                <w:rFonts w:ascii="Times New Roman" w:hAnsi="Times New Roman"/>
                <w:b w:val="0"/>
                <w:i w:val="0"/>
                <w:sz w:val="17"/>
              </w:rPr>
              <w:t>No band in the no-template control; target band is purified</w:t>
            </w:r>
          </w:p>
        </w:tc>
      </w:tr>
      <w:tr>
        <w:tc>
          <w:tcPr>
            <w:tcW w:type="dxa" w:w="3331"/>
            <w:vAlign w:val="center"/>
          </w:tcPr>
          <w:p>
            <w:pPr>
              <w:spacing w:after="0"/>
            </w:pPr>
            <w:r/>
            <w:r>
              <w:rPr>
                <w:rFonts w:ascii="Times New Roman" w:hAnsi="Times New Roman"/>
                <w:b w:val="0"/>
                <w:i w:val="0"/>
                <w:sz w:val="17"/>
              </w:rPr>
              <w:t>Clone screen</w:t>
            </w:r>
          </w:p>
        </w:tc>
        <w:tc>
          <w:tcPr>
            <w:tcW w:type="dxa" w:w="3331"/>
            <w:vAlign w:val="center"/>
          </w:tcPr>
          <w:p>
            <w:pPr>
              <w:spacing w:after="0"/>
            </w:pPr>
            <w:r/>
            <w:r>
              <w:rPr>
                <w:rFonts w:ascii="Times New Roman" w:hAnsi="Times New Roman"/>
                <w:b w:val="0"/>
                <w:i w:val="0"/>
                <w:sz w:val="17"/>
              </w:rPr>
              <w:t>Expected diagnostic-digestion or colony-PCR pattern</w:t>
            </w:r>
          </w:p>
        </w:tc>
        <w:tc>
          <w:tcPr>
            <w:tcW w:type="dxa" w:w="3331"/>
            <w:vAlign w:val="center"/>
          </w:tcPr>
          <w:p>
            <w:pPr>
              <w:spacing w:after="0"/>
            </w:pPr>
            <w:r/>
            <w:r>
              <w:rPr>
                <w:rFonts w:ascii="Times New Roman" w:hAnsi="Times New Roman"/>
                <w:b w:val="0"/>
                <w:i w:val="0"/>
                <w:sz w:val="17"/>
              </w:rPr>
              <w:t>Candidate clones contain an insert of the expected size</w:t>
            </w:r>
          </w:p>
        </w:tc>
      </w:tr>
      <w:tr>
        <w:tc>
          <w:tcPr>
            <w:tcW w:type="dxa" w:w="3331"/>
            <w:vAlign w:val="center"/>
          </w:tcPr>
          <w:p>
            <w:pPr>
              <w:spacing w:after="0"/>
            </w:pPr>
            <w:r/>
            <w:r>
              <w:rPr>
                <w:rFonts w:ascii="Times New Roman" w:hAnsi="Times New Roman"/>
                <w:b w:val="0"/>
                <w:i w:val="0"/>
                <w:sz w:val="17"/>
              </w:rPr>
              <w:t>Sequencing</w:t>
            </w:r>
          </w:p>
        </w:tc>
        <w:tc>
          <w:tcPr>
            <w:tcW w:type="dxa" w:w="3331"/>
            <w:vAlign w:val="center"/>
          </w:tcPr>
          <w:p>
            <w:pPr>
              <w:spacing w:after="0"/>
            </w:pPr>
            <w:r/>
            <w:r>
              <w:rPr>
                <w:rFonts w:ascii="Times New Roman" w:hAnsi="Times New Roman"/>
                <w:b w:val="0"/>
                <w:i w:val="0"/>
                <w:sz w:val="17"/>
              </w:rPr>
              <w:t>Correct EGFP-TFEB junction and TFEB sequence</w:t>
            </w:r>
          </w:p>
        </w:tc>
        <w:tc>
          <w:tcPr>
            <w:tcW w:type="dxa" w:w="3331"/>
            <w:vAlign w:val="center"/>
          </w:tcPr>
          <w:p>
            <w:pPr>
              <w:spacing w:after="0"/>
            </w:pPr>
            <w:r/>
            <w:r>
              <w:rPr>
                <w:rFonts w:ascii="Times New Roman" w:hAnsi="Times New Roman"/>
                <w:b w:val="0"/>
                <w:i w:val="0"/>
                <w:sz w:val="17"/>
              </w:rPr>
              <w:t>Continuous ORF; no unwanted variants</w:t>
            </w:r>
          </w:p>
        </w:tc>
      </w:tr>
      <w:tr>
        <w:tc>
          <w:tcPr>
            <w:tcW w:type="dxa" w:w="3331"/>
            <w:vAlign w:val="center"/>
          </w:tcPr>
          <w:p>
            <w:pPr>
              <w:spacing w:after="0"/>
            </w:pPr>
            <w:r/>
            <w:r>
              <w:rPr>
                <w:rFonts w:ascii="Times New Roman" w:hAnsi="Times New Roman"/>
                <w:b w:val="0"/>
                <w:i w:val="0"/>
                <w:sz w:val="17"/>
              </w:rPr>
              <w:t>Microscopy</w:t>
            </w:r>
          </w:p>
        </w:tc>
        <w:tc>
          <w:tcPr>
            <w:tcW w:type="dxa" w:w="3331"/>
            <w:vAlign w:val="center"/>
          </w:tcPr>
          <w:p>
            <w:pPr>
              <w:spacing w:after="0"/>
            </w:pPr>
            <w:r/>
            <w:r>
              <w:rPr>
                <w:rFonts w:ascii="Times New Roman" w:hAnsi="Times New Roman"/>
                <w:b w:val="0"/>
                <w:i w:val="0"/>
                <w:sz w:val="17"/>
              </w:rPr>
              <w:t>Predominantly cytoplasmic signal in controls; increased nuclear signal after starvation/Torin1</w:t>
            </w:r>
          </w:p>
        </w:tc>
        <w:tc>
          <w:tcPr>
            <w:tcW w:type="dxa" w:w="3331"/>
            <w:vAlign w:val="center"/>
          </w:tcPr>
          <w:p>
            <w:pPr>
              <w:spacing w:after="0"/>
            </w:pPr>
            <w:r/>
            <w:r>
              <w:rPr>
                <w:rFonts w:ascii="Times New Roman" w:hAnsi="Times New Roman"/>
                <w:b w:val="0"/>
                <w:i w:val="0"/>
                <w:sz w:val="17"/>
              </w:rPr>
              <w:t>N/C ratio is significantly higher in treatment groups</w:t>
            </w:r>
          </w:p>
        </w:tc>
      </w:tr>
      <w:tr>
        <w:tc>
          <w:tcPr>
            <w:tcW w:type="dxa" w:w="3331"/>
            <w:vAlign w:val="center"/>
          </w:tcPr>
          <w:p>
            <w:pPr>
              <w:spacing w:after="0"/>
            </w:pPr>
            <w:r/>
            <w:r>
              <w:rPr>
                <w:rFonts w:ascii="Times New Roman" w:hAnsi="Times New Roman"/>
                <w:b w:val="0"/>
                <w:i w:val="0"/>
                <w:sz w:val="17"/>
              </w:rPr>
              <w:t>Western blot</w:t>
            </w:r>
          </w:p>
        </w:tc>
        <w:tc>
          <w:tcPr>
            <w:tcW w:type="dxa" w:w="3331"/>
            <w:vAlign w:val="center"/>
          </w:tcPr>
          <w:p>
            <w:pPr>
              <w:spacing w:after="0"/>
            </w:pPr>
            <w:r/>
            <w:r>
              <w:rPr>
                <w:rFonts w:ascii="Times New Roman" w:hAnsi="Times New Roman"/>
                <w:b w:val="0"/>
                <w:i w:val="0"/>
                <w:sz w:val="17"/>
              </w:rPr>
              <w:t>A discrete anti-GFP-reactive fusion-protein band</w:t>
            </w:r>
          </w:p>
        </w:tc>
        <w:tc>
          <w:tcPr>
            <w:tcW w:type="dxa" w:w="3331"/>
            <w:vAlign w:val="center"/>
          </w:tcPr>
          <w:p>
            <w:pPr>
              <w:spacing w:after="0"/>
            </w:pPr>
            <w:r/>
            <w:r>
              <w:rPr>
                <w:rFonts w:ascii="Times New Roman" w:hAnsi="Times New Roman"/>
                <w:b w:val="0"/>
                <w:i w:val="0"/>
                <w:sz w:val="17"/>
              </w:rPr>
              <w:t>Size is consistent with EGFP-TFEB expression</w:t>
            </w:r>
          </w:p>
        </w:tc>
      </w:tr>
    </w:tbl>
    <w:p>
      <w:pPr>
        <w:spacing w:line="293" w:lineRule="auto" w:after="100"/>
        <w:ind w:firstLine="403"/>
      </w:pPr>
      <w:r>
        <w:rPr>
          <w:rFonts w:ascii="Times New Roman" w:hAnsi="Times New Roman"/>
          <w:b w:val="0"/>
          <w:i w:val="0"/>
          <w:sz w:val="22"/>
        </w:rPr>
        <w:t>Interpretation: a verified plasmid together with the predicted treatment-dependent increase in nuclear TFEB would support the hypothesis that the EGFP-TFEB reporter retains nutrient-responsive localization. A lack of nuclear accumulation would prompt checks of construct sequence, fusion orientation, transfection efficiency, treatment strength, and imaging settings.</w:t>
      </w:r>
    </w:p>
    <w:p>
      <w:pPr>
        <w:pStyle w:val="Heading1"/>
        <w:spacing w:before="220" w:after="80"/>
      </w:pPr>
      <w:r>
        <w:rPr>
          <w:rFonts w:ascii="Times New Roman" w:hAnsi="Times New Roman"/>
          <w:b/>
          <w:i w:val="0"/>
          <w:sz w:val="28"/>
        </w:rPr>
        <w:t>4. Preliminary Discussion and Limitations</w:t>
      </w:r>
    </w:p>
    <w:p>
      <w:pPr>
        <w:spacing w:line="293" w:lineRule="auto" w:after="100"/>
        <w:ind w:firstLine="403"/>
      </w:pPr>
      <w:r>
        <w:rPr>
          <w:rFonts w:ascii="Times New Roman" w:hAnsi="Times New Roman"/>
          <w:b w:val="0"/>
          <w:i w:val="0"/>
          <w:sz w:val="22"/>
        </w:rPr>
        <w:t>This design provides a direct visual assay for a central nutrient-sensing pathway. However, overexpression and an EGFP fusion can alter protein abundance or localization. Therefore, the study will interpret fluorescent localization together with expression controls and will avoid claiming that the reporter fully reproduces endogenous TFEB behavior. Follow-up work could compare wild-type TFEB with a phosphorylation-site mutant or measure downstream target genes such as LAMP1 and CTSB by RT-qPCR.</w:t>
      </w:r>
    </w:p>
    <w:p>
      <w:pPr>
        <w:pStyle w:val="Heading1"/>
        <w:spacing w:before="220" w:after="80"/>
      </w:pPr>
      <w:r>
        <w:rPr>
          <w:rFonts w:ascii="Times New Roman" w:hAnsi="Times New Roman"/>
          <w:b/>
          <w:i w:val="0"/>
          <w:sz w:val="28"/>
        </w:rPr>
        <w:t>5. Items to Finalize Before Submission</w:t>
      </w:r>
    </w:p>
    <w:p>
      <w:pPr>
        <w:pStyle w:val="ListBullet"/>
        <w:spacing w:after="40" w:line="269" w:lineRule="auto"/>
      </w:pPr>
      <w:r>
        <w:rPr>
          <w:rFonts w:ascii="Times New Roman" w:hAnsi="Times New Roman"/>
          <w:b w:val="0"/>
          <w:i w:val="0"/>
          <w:sz w:val="21"/>
        </w:rPr>
        <w:t>Confirm the two author names, student IDs, and CRediT author-contribution statement.</w:t>
      </w:r>
    </w:p>
    <w:p>
      <w:pPr>
        <w:pStyle w:val="ListBullet"/>
        <w:spacing w:after="40" w:line="269" w:lineRule="auto"/>
      </w:pPr>
      <w:r>
        <w:rPr>
          <w:rFonts w:ascii="Times New Roman" w:hAnsi="Times New Roman"/>
          <w:b w:val="0"/>
          <w:i w:val="0"/>
          <w:sz w:val="21"/>
        </w:rPr>
        <w:t>Choose the exact EGFP vector and verify its antibiotic marker, promoter, MCS, and complete sequence.</w:t>
      </w:r>
    </w:p>
    <w:p>
      <w:pPr>
        <w:pStyle w:val="ListBullet"/>
        <w:spacing w:after="40" w:line="269" w:lineRule="auto"/>
      </w:pPr>
      <w:r>
        <w:rPr>
          <w:rFonts w:ascii="Times New Roman" w:hAnsi="Times New Roman"/>
          <w:b w:val="0"/>
          <w:i w:val="0"/>
          <w:sz w:val="21"/>
        </w:rPr>
        <w:t>Select a validated TFEB RefSeq transcript; finalize restriction enzymes and write actual primer sequences with calculated Tm values.</w:t>
      </w:r>
    </w:p>
    <w:p>
      <w:pPr>
        <w:pStyle w:val="ListBullet"/>
        <w:spacing w:after="40" w:line="269" w:lineRule="auto"/>
      </w:pPr>
      <w:r>
        <w:rPr>
          <w:rFonts w:ascii="Times New Roman" w:hAnsi="Times New Roman"/>
          <w:b w:val="0"/>
          <w:i w:val="0"/>
          <w:sz w:val="21"/>
        </w:rPr>
        <w:t>Create a final circular plasmid map and a cloning workflow figure in ApE or SnapGene.</w:t>
      </w:r>
    </w:p>
    <w:p>
      <w:pPr>
        <w:pStyle w:val="ListBullet"/>
        <w:spacing w:after="40" w:line="269" w:lineRule="auto"/>
      </w:pPr>
      <w:r>
        <w:rPr>
          <w:rFonts w:ascii="Times New Roman" w:hAnsi="Times New Roman"/>
          <w:b w:val="0"/>
          <w:i w:val="0"/>
          <w:sz w:val="21"/>
        </w:rPr>
        <w:t>Confirm treatment durations/concentrations from the cited literature and finalize the statistical plan.</w:t>
      </w:r>
    </w:p>
    <w:p>
      <w:pPr>
        <w:pStyle w:val="ListBullet"/>
        <w:spacing w:after="40" w:line="269" w:lineRule="auto"/>
      </w:pPr>
      <w:r>
        <w:rPr>
          <w:rFonts w:ascii="Times New Roman" w:hAnsi="Times New Roman"/>
          <w:b w:val="0"/>
          <w:i w:val="0"/>
          <w:sz w:val="21"/>
        </w:rPr>
        <w:t>Add the required AI-use declaration and reformat references consistently.</w:t>
      </w:r>
    </w:p>
    <w:p>
      <w:pPr>
        <w:pStyle w:val="Heading1"/>
        <w:spacing w:before="220" w:after="80"/>
      </w:pPr>
      <w:r>
        <w:rPr>
          <w:rFonts w:ascii="Times New Roman" w:hAnsi="Times New Roman"/>
          <w:b/>
          <w:i w:val="0"/>
          <w:sz w:val="28"/>
        </w:rPr>
        <w:t>References for the Draft</w:t>
      </w:r>
    </w:p>
    <w:p>
      <w:pPr>
        <w:spacing w:after="60"/>
        <w:ind w:left="360" w:hanging="360"/>
      </w:pPr>
      <w:r>
        <w:rPr>
          <w:rFonts w:ascii="Times New Roman" w:hAnsi="Times New Roman"/>
          <w:b w:val="0"/>
          <w:i w:val="0"/>
          <w:sz w:val="19"/>
        </w:rPr>
        <w:t>Settembre, C., et al. (2012). A lysosome-to-nucleus signalling mechanism senses and regulates the lysosome via mTOR and TFEB. EMBO Molecular Medicine, 4(8), 755–770. https://doi.org/10.1002/emmm.201201375.</w:t>
      </w:r>
    </w:p>
    <w:p>
      <w:pPr>
        <w:spacing w:after="60"/>
        <w:ind w:left="360" w:hanging="360"/>
      </w:pPr>
      <w:r>
        <w:rPr>
          <w:rFonts w:ascii="Times New Roman" w:hAnsi="Times New Roman"/>
          <w:b w:val="0"/>
          <w:i w:val="0"/>
          <w:sz w:val="19"/>
        </w:rPr>
        <w:t>Roczniak-Ferguson, A., et al. (2012). The transcription factor TFEB links mTORC1 signaling to transcriptional control of lysosome homeostasis. Science Signaling, 5(228), ra42. https://doi.org/10.1126/scisignal.2002790.</w:t>
      </w:r>
    </w:p>
    <w:p>
      <w:pPr>
        <w:spacing w:after="60"/>
        <w:ind w:left="360" w:hanging="360"/>
      </w:pPr>
      <w:r>
        <w:rPr>
          <w:rFonts w:ascii="Times New Roman" w:hAnsi="Times New Roman"/>
          <w:b w:val="0"/>
          <w:i w:val="0"/>
          <w:sz w:val="19"/>
        </w:rPr>
        <w:t>Li, Y., et al. (2018). mTOR-dependent phosphorylation controls TFEB nuclear export. Nature Communications, 9, 3312. https://doi.org/10.1038/s41467-018-05862-6.</w:t>
      </w:r>
    </w:p>
    <w:p>
      <w:pPr>
        <w:spacing w:after="60"/>
        <w:ind w:left="360" w:hanging="360"/>
      </w:pPr>
      <w:r>
        <w:rPr>
          <w:rFonts w:ascii="Times New Roman" w:hAnsi="Times New Roman"/>
          <w:b w:val="0"/>
          <w:i w:val="0"/>
          <w:sz w:val="19"/>
        </w:rPr>
        <w:t>National Center for Biotechnology Information. TFEB transcription factor EB [Homo sapiens]. NCBI Gene ID: 7942. Accessed 23 October 2026.</w:t>
      </w:r>
    </w:p>
    <w:p>
      <w:pPr>
        <w:pStyle w:val="Heading1"/>
        <w:spacing w:before="220" w:after="80"/>
      </w:pPr>
      <w:r>
        <w:rPr>
          <w:rFonts w:ascii="Times New Roman" w:hAnsi="Times New Roman"/>
          <w:b/>
          <w:i w:val="0"/>
          <w:sz w:val="28"/>
        </w:rPr>
        <w:t>AI Use Declaration</w:t>
      </w:r>
    </w:p>
    <w:p>
      <w:pPr>
        <w:spacing w:line="293" w:lineRule="auto" w:after="100"/>
      </w:pPr>
      <w:r>
        <w:rPr>
          <w:rFonts w:ascii="Times New Roman" w:hAnsi="Times New Roman"/>
          <w:b w:val="0"/>
          <w:i w:val="0"/>
          <w:sz w:val="22"/>
        </w:rPr>
        <w:t>This draft was prepared with AI assistance for outlining, language polishing, and preliminary experimental planning. Before submission, all sequence information, primer sequences, vector features, literature citations, and experimental parameters will be independently checked by the authors against the original databases, vector records, and cited publications.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sz w:val="16"/>
      </w:rPr>
      <w:t>TFEB Experimental Design Outline | Discussion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