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53A8" w14:textId="3CE6D29B" w:rsidR="00372E52" w:rsidRPr="00372E52" w:rsidRDefault="00372E52" w:rsidP="00372E52">
      <w:pPr>
        <w:jc w:val="center"/>
        <w:rPr>
          <w:rFonts w:ascii="Times New Roman" w:hAnsi="Times New Roman" w:cs="Times New Roman"/>
          <w:sz w:val="24"/>
          <w:szCs w:val="28"/>
        </w:rPr>
      </w:pPr>
      <w:r w:rsidRPr="00372E52">
        <w:rPr>
          <w:rFonts w:ascii="Times New Roman" w:hAnsi="Times New Roman" w:cs="Times New Roman"/>
          <w:sz w:val="28"/>
          <w:szCs w:val="32"/>
        </w:rPr>
        <w:t>Reflection Report: Gold Price Predictor Project</w:t>
      </w:r>
    </w:p>
    <w:p w14:paraId="3F060FE6" w14:textId="6A0AF27D" w:rsidR="00372E52" w:rsidRPr="00372E52" w:rsidRDefault="00372E52" w:rsidP="00372E52">
      <w:pPr>
        <w:rPr>
          <w:rFonts w:ascii="Times New Roman" w:hAnsi="Times New Roman" w:cs="Times New Roman"/>
          <w:sz w:val="24"/>
          <w:szCs w:val="28"/>
        </w:rPr>
      </w:pPr>
      <w:r w:rsidRPr="00372E52">
        <w:rPr>
          <w:rFonts w:ascii="Times New Roman" w:hAnsi="Times New Roman" w:cs="Times New Roman"/>
          <w:sz w:val="24"/>
          <w:szCs w:val="28"/>
        </w:rPr>
        <w:t>This report details the development of an interactive gold price prediction tool, created for the ACC102 Mini Assignment. The project aimed to translate established macroeconomic theory into an accessible application, targeting retail investors and finance students who seek to understand how fundamental factors influence gold markets. Rather than pursuing maximal predictive accuracy, the tool prioritizes educational clarity, demonstrating the directional relationships between key economic indicators and gold price movements in real-time.</w:t>
      </w:r>
    </w:p>
    <w:p w14:paraId="669CC969" w14:textId="77777777" w:rsidR="00372E52" w:rsidRPr="00372E52" w:rsidRDefault="00372E52" w:rsidP="00372E52">
      <w:pPr>
        <w:rPr>
          <w:rFonts w:ascii="Times New Roman" w:hAnsi="Times New Roman" w:cs="Times New Roman"/>
          <w:sz w:val="24"/>
          <w:szCs w:val="28"/>
        </w:rPr>
      </w:pPr>
      <w:r w:rsidRPr="00372E52">
        <w:rPr>
          <w:rFonts w:ascii="Times New Roman" w:hAnsi="Times New Roman" w:cs="Times New Roman"/>
          <w:sz w:val="24"/>
          <w:szCs w:val="28"/>
        </w:rPr>
        <w:t>The core analytical problem was to quantify and visualize how three macroeconomic variables—USD index, 10-year treasury yield, and inflation rate—collectively influence the probability of gold price appreciation. These variables were selected for their strong theoretical foundations: the USD index represents currency valuation effects, treasury yields capture opportunity costs, and inflation rates reflect gold's traditional role as a store of value. The dataset comprises monthly observations from 2016 to 2026, generated synthetically to ensure clean theoretical relationships while overcoming practical data acquisition barriers. This generation process incorporated realistic market patterns including long-term trends, seasonal fluctuations, and event-driven shocks, creating a controlled environment ideal for educational demonstration.</w:t>
      </w:r>
    </w:p>
    <w:p w14:paraId="27E7BFB3" w14:textId="77777777" w:rsidR="00372E52" w:rsidRPr="00372E52" w:rsidRDefault="00372E52" w:rsidP="00372E52">
      <w:pPr>
        <w:rPr>
          <w:rFonts w:ascii="Times New Roman" w:hAnsi="Times New Roman" w:cs="Times New Roman"/>
          <w:sz w:val="24"/>
          <w:szCs w:val="28"/>
        </w:rPr>
      </w:pPr>
      <w:r w:rsidRPr="00372E52">
        <w:rPr>
          <w:rFonts w:ascii="Times New Roman" w:hAnsi="Times New Roman" w:cs="Times New Roman"/>
          <w:sz w:val="24"/>
          <w:szCs w:val="28"/>
        </w:rPr>
        <w:t xml:space="preserve">Python served as the primary implementation language, with pandas and NumPy handling data manipulation, and scikit-learn powering the machine learning component. A logistic regression model was chosen for its interpretability—each coefficient clearly indicates how a unit change in a macroeconomic variable affects the probability of gold price increase. The modeling pipeline included feature scaling, time-based train-test splitting to prevent data leakage, and careful model evaluation. For the interactive interface, </w:t>
      </w:r>
      <w:proofErr w:type="spellStart"/>
      <w:r w:rsidRPr="00372E52">
        <w:rPr>
          <w:rFonts w:ascii="Times New Roman" w:hAnsi="Times New Roman" w:cs="Times New Roman"/>
          <w:sz w:val="24"/>
          <w:szCs w:val="28"/>
        </w:rPr>
        <w:t>Streamlit</w:t>
      </w:r>
      <w:proofErr w:type="spellEnd"/>
      <w:r w:rsidRPr="00372E52">
        <w:rPr>
          <w:rFonts w:ascii="Times New Roman" w:hAnsi="Times New Roman" w:cs="Times New Roman"/>
          <w:sz w:val="24"/>
          <w:szCs w:val="28"/>
        </w:rPr>
        <w:t xml:space="preserve"> provided an efficient framework to transform the analytical model into a web application, featuring intuitive sliders for user inputs, preset market scenarios, and dynamic visualizations of predictions and feature importance.</w:t>
      </w:r>
    </w:p>
    <w:p w14:paraId="00B207DA" w14:textId="77777777" w:rsidR="00372E52" w:rsidRPr="00372E52" w:rsidRDefault="00372E52" w:rsidP="00372E52">
      <w:pPr>
        <w:rPr>
          <w:rFonts w:ascii="Times New Roman" w:hAnsi="Times New Roman" w:cs="Times New Roman"/>
          <w:sz w:val="24"/>
          <w:szCs w:val="28"/>
        </w:rPr>
      </w:pPr>
      <w:r w:rsidRPr="00372E52">
        <w:rPr>
          <w:rFonts w:ascii="Times New Roman" w:hAnsi="Times New Roman" w:cs="Times New Roman"/>
          <w:sz w:val="24"/>
          <w:szCs w:val="28"/>
        </w:rPr>
        <w:t xml:space="preserve">The main insights consistently validated financial theory. The model confirmed the strong negative relationship between USD strength and gold prices, the positive correlation with inflation (supporting gold's inflation-hedge properties), and the expected negative impact of rising interest rates. More importantly, the interactive tool revealed how these factors interact in multivariate systems—demonstrating that their combined effect isn't merely additive but involves complex interrelationships. The application successfully translates abstract economic concepts into tangible predictions, allowing users to experiment with different economic scenarios and </w:t>
      </w:r>
      <w:r w:rsidRPr="00372E52">
        <w:rPr>
          <w:rFonts w:ascii="Times New Roman" w:hAnsi="Times New Roman" w:cs="Times New Roman"/>
          <w:sz w:val="24"/>
          <w:szCs w:val="28"/>
        </w:rPr>
        <w:lastRenderedPageBreak/>
        <w:t>immediately observe the probabilistic outcomes.</w:t>
      </w:r>
    </w:p>
    <w:p w14:paraId="48E3F728" w14:textId="77777777" w:rsidR="00372E52" w:rsidRPr="00372E52" w:rsidRDefault="00372E52" w:rsidP="00372E52">
      <w:pPr>
        <w:rPr>
          <w:rFonts w:ascii="Times New Roman" w:hAnsi="Times New Roman" w:cs="Times New Roman"/>
          <w:sz w:val="24"/>
          <w:szCs w:val="28"/>
        </w:rPr>
      </w:pPr>
      <w:r w:rsidRPr="00372E52">
        <w:rPr>
          <w:rFonts w:ascii="Times New Roman" w:hAnsi="Times New Roman" w:cs="Times New Roman"/>
          <w:sz w:val="24"/>
          <w:szCs w:val="28"/>
        </w:rPr>
        <w:t>Several limitations warrant consideration. The synthetic data, while useful for illustrating theoretical relationships, necessarily simplifies real market complexity. Actual financial data contains noise, structural breaks, and unexpected correlations absent from generated data. The linear logistic regression model cannot capture potential nonlinearities or threshold effects that may exist in real markets. Additionally, the monthly frequency overlooks intra-month volatility, and the model excludes other potentially relevant factors like geopolitical events, market sentiment, or technical indicators. These limitations emphasize the tool's educational purpose rather than its suitability for actual trading decisions.</w:t>
      </w:r>
    </w:p>
    <w:p w14:paraId="6C8DA5E0" w14:textId="77777777" w:rsidR="00372E52" w:rsidRPr="00372E52" w:rsidRDefault="00372E52" w:rsidP="00372E52">
      <w:pPr>
        <w:rPr>
          <w:rFonts w:ascii="Times New Roman" w:hAnsi="Times New Roman" w:cs="Times New Roman"/>
          <w:sz w:val="24"/>
          <w:szCs w:val="28"/>
        </w:rPr>
      </w:pPr>
      <w:r w:rsidRPr="00372E52">
        <w:rPr>
          <w:rFonts w:ascii="Times New Roman" w:hAnsi="Times New Roman" w:cs="Times New Roman"/>
          <w:sz w:val="24"/>
          <w:szCs w:val="28"/>
        </w:rPr>
        <w:t>My contribution encompassed the entire project lifecycle—from conceptual design and data generation to model implementation and interface development. Key decisions included prioritizing interpretability over complexity, selecting logistic regression for its transparency, and designing an interface that makes multivariate analysis accessible to non-technical users. The most valuable learning emerged from the deployment process: configuring environments, managing dependencies, and troubleshooting path issues taught practical software development skills beyond pure analytics. This project reinforced that effective data science products balance technical sophistication with user experience, and that clear communication of limitations is as important as showcasing capabilities. Ultimately, the experience demonstrated how analytical tools can bridge theoretical finance and practical understanding, creating value not through perfect predictions but through clearer insight into complex economic relationships.</w:t>
      </w:r>
    </w:p>
    <w:p w14:paraId="7D5C6BEA" w14:textId="77777777" w:rsidR="00C30752" w:rsidRPr="00174798" w:rsidRDefault="00C30752" w:rsidP="00F52848">
      <w:pPr>
        <w:rPr>
          <w:rFonts w:ascii="Times New Roman" w:hAnsi="Times New Roman" w:cs="Times New Roman"/>
        </w:rPr>
      </w:pPr>
    </w:p>
    <w:sectPr w:rsidR="00C30752" w:rsidRPr="001747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CF14" w14:textId="77777777" w:rsidR="00AE43C5" w:rsidRDefault="00AE43C5" w:rsidP="00372E52">
      <w:pPr>
        <w:spacing w:after="0" w:line="240" w:lineRule="auto"/>
        <w:rPr>
          <w:rFonts w:hint="eastAsia"/>
        </w:rPr>
      </w:pPr>
      <w:r>
        <w:separator/>
      </w:r>
    </w:p>
  </w:endnote>
  <w:endnote w:type="continuationSeparator" w:id="0">
    <w:p w14:paraId="50F873B7" w14:textId="77777777" w:rsidR="00AE43C5" w:rsidRDefault="00AE43C5" w:rsidP="00372E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94CF1" w14:textId="77777777" w:rsidR="00AE43C5" w:rsidRDefault="00AE43C5" w:rsidP="00372E52">
      <w:pPr>
        <w:spacing w:after="0" w:line="240" w:lineRule="auto"/>
        <w:rPr>
          <w:rFonts w:hint="eastAsia"/>
        </w:rPr>
      </w:pPr>
      <w:r>
        <w:separator/>
      </w:r>
    </w:p>
  </w:footnote>
  <w:footnote w:type="continuationSeparator" w:id="0">
    <w:p w14:paraId="06EB109F" w14:textId="77777777" w:rsidR="00AE43C5" w:rsidRDefault="00AE43C5" w:rsidP="00372E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5C8"/>
    <w:multiLevelType w:val="multilevel"/>
    <w:tmpl w:val="B1E4F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818C6"/>
    <w:multiLevelType w:val="multilevel"/>
    <w:tmpl w:val="42CC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E1FFD"/>
    <w:multiLevelType w:val="multilevel"/>
    <w:tmpl w:val="B516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3559A"/>
    <w:multiLevelType w:val="multilevel"/>
    <w:tmpl w:val="950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A77BD"/>
    <w:multiLevelType w:val="multilevel"/>
    <w:tmpl w:val="D7D8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75362F"/>
    <w:multiLevelType w:val="multilevel"/>
    <w:tmpl w:val="C31A6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67956"/>
    <w:multiLevelType w:val="multilevel"/>
    <w:tmpl w:val="5350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546A2"/>
    <w:multiLevelType w:val="multilevel"/>
    <w:tmpl w:val="F2A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955824">
    <w:abstractNumId w:val="6"/>
  </w:num>
  <w:num w:numId="2" w16cid:durableId="1466697489">
    <w:abstractNumId w:val="7"/>
  </w:num>
  <w:num w:numId="3" w16cid:durableId="153377667">
    <w:abstractNumId w:val="4"/>
  </w:num>
  <w:num w:numId="4" w16cid:durableId="978339923">
    <w:abstractNumId w:val="5"/>
  </w:num>
  <w:num w:numId="5" w16cid:durableId="1891989398">
    <w:abstractNumId w:val="3"/>
  </w:num>
  <w:num w:numId="6" w16cid:durableId="1302154571">
    <w:abstractNumId w:val="1"/>
  </w:num>
  <w:num w:numId="7" w16cid:durableId="243956475">
    <w:abstractNumId w:val="0"/>
  </w:num>
  <w:num w:numId="8" w16cid:durableId="229535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848"/>
    <w:rsid w:val="00174798"/>
    <w:rsid w:val="00231ADE"/>
    <w:rsid w:val="00372E52"/>
    <w:rsid w:val="00AA7415"/>
    <w:rsid w:val="00AE43C5"/>
    <w:rsid w:val="00B276D6"/>
    <w:rsid w:val="00C30752"/>
    <w:rsid w:val="00F52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44238"/>
  <w15:chartTrackingRefBased/>
  <w15:docId w15:val="{B24AB768-E316-4E7D-BADB-6037BA89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28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28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28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28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28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528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28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28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28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8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28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28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2848"/>
    <w:rPr>
      <w:rFonts w:cstheme="majorBidi"/>
      <w:color w:val="0F4761" w:themeColor="accent1" w:themeShade="BF"/>
      <w:sz w:val="28"/>
      <w:szCs w:val="28"/>
    </w:rPr>
  </w:style>
  <w:style w:type="character" w:customStyle="1" w:styleId="50">
    <w:name w:val="标题 5 字符"/>
    <w:basedOn w:val="a0"/>
    <w:link w:val="5"/>
    <w:uiPriority w:val="9"/>
    <w:semiHidden/>
    <w:rsid w:val="00F52848"/>
    <w:rPr>
      <w:rFonts w:cstheme="majorBidi"/>
      <w:color w:val="0F4761" w:themeColor="accent1" w:themeShade="BF"/>
      <w:sz w:val="24"/>
    </w:rPr>
  </w:style>
  <w:style w:type="character" w:customStyle="1" w:styleId="60">
    <w:name w:val="标题 6 字符"/>
    <w:basedOn w:val="a0"/>
    <w:link w:val="6"/>
    <w:uiPriority w:val="9"/>
    <w:semiHidden/>
    <w:rsid w:val="00F52848"/>
    <w:rPr>
      <w:rFonts w:cstheme="majorBidi"/>
      <w:b/>
      <w:bCs/>
      <w:color w:val="0F4761" w:themeColor="accent1" w:themeShade="BF"/>
    </w:rPr>
  </w:style>
  <w:style w:type="character" w:customStyle="1" w:styleId="70">
    <w:name w:val="标题 7 字符"/>
    <w:basedOn w:val="a0"/>
    <w:link w:val="7"/>
    <w:uiPriority w:val="9"/>
    <w:semiHidden/>
    <w:rsid w:val="00F52848"/>
    <w:rPr>
      <w:rFonts w:cstheme="majorBidi"/>
      <w:b/>
      <w:bCs/>
      <w:color w:val="595959" w:themeColor="text1" w:themeTint="A6"/>
    </w:rPr>
  </w:style>
  <w:style w:type="character" w:customStyle="1" w:styleId="80">
    <w:name w:val="标题 8 字符"/>
    <w:basedOn w:val="a0"/>
    <w:link w:val="8"/>
    <w:uiPriority w:val="9"/>
    <w:semiHidden/>
    <w:rsid w:val="00F52848"/>
    <w:rPr>
      <w:rFonts w:cstheme="majorBidi"/>
      <w:color w:val="595959" w:themeColor="text1" w:themeTint="A6"/>
    </w:rPr>
  </w:style>
  <w:style w:type="character" w:customStyle="1" w:styleId="90">
    <w:name w:val="标题 9 字符"/>
    <w:basedOn w:val="a0"/>
    <w:link w:val="9"/>
    <w:uiPriority w:val="9"/>
    <w:semiHidden/>
    <w:rsid w:val="00F52848"/>
    <w:rPr>
      <w:rFonts w:eastAsiaTheme="majorEastAsia" w:cstheme="majorBidi"/>
      <w:color w:val="595959" w:themeColor="text1" w:themeTint="A6"/>
    </w:rPr>
  </w:style>
  <w:style w:type="paragraph" w:styleId="a3">
    <w:name w:val="Title"/>
    <w:basedOn w:val="a"/>
    <w:next w:val="a"/>
    <w:link w:val="a4"/>
    <w:uiPriority w:val="10"/>
    <w:qFormat/>
    <w:rsid w:val="00F528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28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28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28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2848"/>
    <w:pPr>
      <w:spacing w:before="160"/>
      <w:jc w:val="center"/>
    </w:pPr>
    <w:rPr>
      <w:i/>
      <w:iCs/>
      <w:color w:val="404040" w:themeColor="text1" w:themeTint="BF"/>
    </w:rPr>
  </w:style>
  <w:style w:type="character" w:customStyle="1" w:styleId="a8">
    <w:name w:val="引用 字符"/>
    <w:basedOn w:val="a0"/>
    <w:link w:val="a7"/>
    <w:uiPriority w:val="29"/>
    <w:rsid w:val="00F52848"/>
    <w:rPr>
      <w:i/>
      <w:iCs/>
      <w:color w:val="404040" w:themeColor="text1" w:themeTint="BF"/>
    </w:rPr>
  </w:style>
  <w:style w:type="paragraph" w:styleId="a9">
    <w:name w:val="List Paragraph"/>
    <w:basedOn w:val="a"/>
    <w:uiPriority w:val="34"/>
    <w:qFormat/>
    <w:rsid w:val="00F52848"/>
    <w:pPr>
      <w:ind w:left="720"/>
      <w:contextualSpacing/>
    </w:pPr>
  </w:style>
  <w:style w:type="character" w:styleId="aa">
    <w:name w:val="Intense Emphasis"/>
    <w:basedOn w:val="a0"/>
    <w:uiPriority w:val="21"/>
    <w:qFormat/>
    <w:rsid w:val="00F52848"/>
    <w:rPr>
      <w:i/>
      <w:iCs/>
      <w:color w:val="0F4761" w:themeColor="accent1" w:themeShade="BF"/>
    </w:rPr>
  </w:style>
  <w:style w:type="paragraph" w:styleId="ab">
    <w:name w:val="Intense Quote"/>
    <w:basedOn w:val="a"/>
    <w:next w:val="a"/>
    <w:link w:val="ac"/>
    <w:uiPriority w:val="30"/>
    <w:qFormat/>
    <w:rsid w:val="00F52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2848"/>
    <w:rPr>
      <w:i/>
      <w:iCs/>
      <w:color w:val="0F4761" w:themeColor="accent1" w:themeShade="BF"/>
    </w:rPr>
  </w:style>
  <w:style w:type="character" w:styleId="ad">
    <w:name w:val="Intense Reference"/>
    <w:basedOn w:val="a0"/>
    <w:uiPriority w:val="32"/>
    <w:qFormat/>
    <w:rsid w:val="00F52848"/>
    <w:rPr>
      <w:b/>
      <w:bCs/>
      <w:smallCaps/>
      <w:color w:val="0F4761" w:themeColor="accent1" w:themeShade="BF"/>
      <w:spacing w:val="5"/>
    </w:rPr>
  </w:style>
  <w:style w:type="paragraph" w:styleId="ae">
    <w:name w:val="header"/>
    <w:basedOn w:val="a"/>
    <w:link w:val="af"/>
    <w:uiPriority w:val="99"/>
    <w:unhideWhenUsed/>
    <w:rsid w:val="00372E5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72E52"/>
    <w:rPr>
      <w:sz w:val="18"/>
      <w:szCs w:val="18"/>
    </w:rPr>
  </w:style>
  <w:style w:type="paragraph" w:styleId="af0">
    <w:name w:val="footer"/>
    <w:basedOn w:val="a"/>
    <w:link w:val="af1"/>
    <w:uiPriority w:val="99"/>
    <w:unhideWhenUsed/>
    <w:rsid w:val="00372E5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72E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人 寡</dc:creator>
  <cp:keywords/>
  <dc:description/>
  <cp:lastModifiedBy>人 寡</cp:lastModifiedBy>
  <cp:revision>3</cp:revision>
  <dcterms:created xsi:type="dcterms:W3CDTF">2026-04-17T13:46:00Z</dcterms:created>
  <dcterms:modified xsi:type="dcterms:W3CDTF">2026-04-17T14:05:00Z</dcterms:modified>
</cp:coreProperties>
</file>