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高校学习智能体 AIGC 应用开发方案</w:t>
      </w:r>
    </w:p>
    <w:p>
      <w:pPr>
        <w:pStyle w:val="Heading1"/>
      </w:pPr>
      <w:r>
        <w:t>一、 产品定位与核心场景设计 (MVP)</w:t>
      </w:r>
    </w:p>
    <w:p>
      <w:pPr>
        <w:pStyle w:val="Heading2"/>
      </w:pPr>
      <w:r>
        <w:t>1. 目标人群</w:t>
      </w:r>
    </w:p>
    <w:p>
      <w:r>
        <w:t>• 本科生：需要课程辅导、作业思路指引、考试复习规划。</w:t>
        <w:br/>
        <w:t>• 研究生/科研人员：需要文献检索、学术论文阅读辅助、实验数据处理。</w:t>
      </w:r>
    </w:p>
    <w:p>
      <w:pPr>
        <w:pStyle w:val="Heading2"/>
      </w:pPr>
      <w:r>
        <w:t>2. 核心应用场景（Multi-Agent 路由分发）</w:t>
      </w:r>
    </w:p>
    <w:p>
      <w:r>
        <w:t>基于思维导图中的多Agent协作/路由（Router），系统将包含一个“主控 Agent”和多个“专家 Agent”：</w:t>
        <w:br/>
        <w:t>• 课程答疑 Agent (基于 RAG)：导入教授的 PPT、教学大纲和教材。学生提问时，通过 RAG 技术检索资料，给出带有精准页码和来源引用的解答，避免模型幻觉。</w:t>
        <w:br/>
        <w:t>• 编程与实验 Agent (基于工具调用)：针对理工科学生，内置 Python 沙箱。学生遇到 Bug 时，Agent 不直接给代码，而是引导排错并可视化运行结果。</w:t>
        <w:br/>
        <w:t>• 学术与写作 Agent (基于外部 API)：对接知网、arXiv、Crossref 等接口。辅助研究生进行文献摘要对比、引用格式检查（APA/MLA）、中英学术润色。</w:t>
        <w:br/>
        <w:t>• 学习规划 Agent (基于状态机与记忆)：结合学校教务系统（课表/考试安排），生成个性化复习计划，并通过飞书/微信推送提醒。</w:t>
      </w:r>
    </w:p>
    <w:p>
      <w:pPr>
        <w:pStyle w:val="Heading1"/>
      </w:pPr>
      <w:r>
        <w:t>二、 核心 Agent 架构设计方案</w:t>
      </w:r>
    </w:p>
    <w:p>
      <w:pPr>
        <w:pStyle w:val="Heading2"/>
      </w:pPr>
      <w:r>
        <w:t>1. 意图识别与任务规划层 (Planner &amp; Decomposer)</w:t>
      </w:r>
    </w:p>
    <w:p>
      <w:r>
        <w:t>• 意图识别：判断用户的输入是闲聊、问答、寻求代码帮助还是生成计划。</w:t>
        <w:br/>
        <w:t>• 任务分解：例如用户输入“帮我总结这篇 PDF 并在周五前制定复习计划”，Planner 会将其拆分为两个子任务：调用 [文档分析工具] 和 调用 [日程管理工具]。</w:t>
      </w:r>
    </w:p>
    <w:p>
      <w:pPr>
        <w:pStyle w:val="Heading2"/>
      </w:pPr>
      <w:r>
        <w:t>2. 知识库与 RAG 检索层 (Knowledge &amp; RAG)</w:t>
      </w:r>
    </w:p>
    <w:p>
      <w:r>
        <w:t>• 数据接入与清洗：支持 PDF、PPT、Word、图片（公式截图）。使用 OCR 工具（如 PaddleOCR/Docling）识别多模态文档，特别是复杂的数学公式和图表。</w:t>
        <w:br/>
        <w:t>• 向量检索与重排 (Rerank)：采用 BM25（关键词） + 向量（语义） 的混合检索策略。引入 Reranker 模型对召回的知识进行重排序，确保回答学术问题时的高准确率。</w:t>
        <w:br/>
        <w:t>• 引用追溯：强制要求大模型在生成答案时，必须标注引用来源。</w:t>
      </w:r>
    </w:p>
    <w:p>
      <w:pPr>
        <w:pStyle w:val="Heading2"/>
      </w:pPr>
      <w:r>
        <w:t>3. 工具调用层 (Tools &amp; Plugins)</w:t>
      </w:r>
    </w:p>
    <w:p>
      <w:r>
        <w:t>• 校内系统插件：教务系统 API（查课表、查成绩）、图书馆检索接口。</w:t>
        <w:br/>
        <w:t>• 学科专属工具：LaTeX 公式渲染器、WolframAlpha（高阶数学计算）、代码沙箱。</w:t>
        <w:br/>
        <w:t>• 效率工具：日历 API、思维导图生成器、Anki 记忆卡片导出。</w:t>
      </w:r>
    </w:p>
    <w:p>
      <w:pPr>
        <w:pStyle w:val="Heading2"/>
      </w:pPr>
      <w:r>
        <w:t>4. 记忆与个性化层 (Memory &amp; Profile)</w:t>
      </w:r>
    </w:p>
    <w:p>
      <w:r>
        <w:t>• 短期记忆：管理当前多轮对话的上下文窗口，支持会话切换。</w:t>
        <w:br/>
        <w:t>• 长期记忆与画像：记录用户的年级、专业、学习弱点、偏好语言等。让 Agent 的回答随着使用时间越来越懂学生。</w:t>
      </w:r>
    </w:p>
    <w:p>
      <w:pPr>
        <w:pStyle w:val="Heading2"/>
      </w:pPr>
      <w:r>
        <w:t>5. 反思与自我校正 (Reflect &amp; Refine)</w:t>
      </w:r>
    </w:p>
    <w:p>
      <w:r>
        <w:t>• 在生成复杂解答（如解答一道物理题）后，Agent 会在内部执行一次“自我评估”步骤，检查逻辑是否自洽、公式是否用错，若发现错误则自动重新生成，再输出给用户。</w:t>
      </w:r>
    </w:p>
    <w:p>
      <w:pPr>
        <w:pStyle w:val="Heading1"/>
      </w:pPr>
      <w:r>
        <w:t>三、 技术栈与基础设施选型</w:t>
      </w:r>
    </w:p>
    <w:p>
      <w:r>
        <w:t>• 基座模型 (LLM)：</w:t>
        <w:br/>
        <w:t xml:space="preserve">  - 主模型：DeepSeek-V3 / Qwen-Max / GLM-4（性价比高，中文及代码/数学能力强）。</w:t>
        <w:br/>
        <w:t xml:space="preserve">  - 本地/私有化备选：Llama-3 (8B/70B) 或 Qwen2.5 部署在校内服务器（针对涉密科研数据）。</w:t>
        <w:br/>
        <w:t>• RAG 与向量库：Milvus 或 PGVector（存储课程向量数据），BGE-M3（Embedding 模型）。</w:t>
        <w:br/>
        <w:t>• 后端开发框架：FastAPI (Python) 或 Spring Boot (Java) + LangChain / LangGraph (用于编排复杂的工作流和多 Agent)。</w:t>
        <w:br/>
        <w:t>• 部署与运维：Docker + Kubernetes 微服务架构，Redis（缓存与会话状态），API 网关（鉴权与限流）。</w:t>
      </w:r>
    </w:p>
    <w:p>
      <w:pPr>
        <w:pStyle w:val="Heading1"/>
      </w:pPr>
      <w:r>
        <w:t>四、 安全合规与教育伦理 (关键风险点控制)</w:t>
      </w:r>
    </w:p>
    <w:p>
      <w:r>
        <w:t>1. “苏格拉底式”合规防作弊模式：</w:t>
        <w:br/>
        <w:t xml:space="preserve">  - 策略：通过系统提示词（System Prompt）设定护栏。当识别到用户在要求“直接替我写论文”或“直接给我期末考试答案”时，Agent 必须拒绝，并转换为启发式提问。</w:t>
        <w:br/>
        <w:t>2. 数据脱敏与隐私保护：</w:t>
        <w:br/>
        <w:t xml:space="preserve">  - 用户的成绩、学号、私人研究数据等敏感信息，在传输给外部大模型 API 前必须进行脱敏/匿名化处理。</w:t>
        <w:br/>
        <w:t>3. 幻觉监控：</w:t>
        <w:br/>
        <w:t xml:space="preserve">  - 针对学术问题，设置“事实核查阈值”。如果 RAG 检索不到相关知识，Agent 必须明确回答“我不知道”或“未在资料中找到相关信息”，严禁胡编乱造学术概念。</w:t>
      </w:r>
    </w:p>
    <w:p>
      <w:pPr>
        <w:pStyle w:val="Heading1"/>
      </w:pPr>
      <w:r>
        <w:t>五、 项目落地与演进路线 (Roadmap)</w:t>
      </w:r>
    </w:p>
    <w:p>
      <w:r>
        <w:t>Phase 1：MVP 核心版本（第 1-2 个月）</w:t>
        <w:br/>
        <w:t>• 目标：跑通单门课程的 RAG 问答与基础交互。</w:t>
        <w:br/>
        <w:t>• 功能：Web 端对话界面、支持上传 PDF/PPT、基于课程资料的精准问答（带引用）。</w:t>
        <w:br/>
        <w:t>• 受众：选定 1-2 门通识课（如高数或计算机基础）进行小范围公测。</w:t>
        <w:br/>
        <w:br/>
        <w:t>Phase 2：多智能体与工具集成（第 3-4 个月）</w:t>
        <w:br/>
        <w:t>• 目标：引入 Router 和特定学科工具，拓展能力。</w:t>
        <w:br/>
        <w:t>• 功能：接入代码沙箱（支持 Python 运行）、支持 LaTeX 公式渲染、增加学习规划功能、引入长期记忆模块。</w:t>
        <w:br/>
        <w:br/>
        <w:t>Phase 3：校园生态融合与全面监控（第 5-6 个月）</w:t>
        <w:br/>
        <w:t>• 目标：融入高校现有 IT 生态，完善监控。</w:t>
        <w:br/>
        <w:t>• 功能：对接校园单点登录（SSO）、集成教务系统 API；上线监控大盘（记录用户满意度、大模型 API 成本、工具调用成功率、回答延迟）。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