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sz w:val="20"/>
        </w:rPr>
        <w:t>Supplementary Table S10 | Full External Validation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single w:val="single" w:sz="30" w:space="0" w:color="000000"/>
          <w:single w:val="single" w:sz="30" w:space="0" w:color="000000"/>
          <w:left w:val="nil"/>
          <w:right w:val="nil"/>
          <w:insideH w:val="nil"/>
          <w:insideV w:val="nil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Category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Metric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Internal (95% CI)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External (95% CI)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P value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sz w:val="14"/>
              </w:rPr>
              <w:t>Structured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Exact Match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0.77 (0.74-0.80)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0.84 (0.81-0.87)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0.00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sz w:val="14"/>
              </w:rPr>
              <w:t>Structured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Focal Lesion Count (F1)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0.65 (0.54-0.75)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0.68 (0.61-0.75)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0.19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sz w:val="14"/>
              </w:rPr>
              <w:t>Structured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EM Disease (F1)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0.89 (0.83-0.95)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0.91 (0.86-0.95)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0.00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sz w:val="14"/>
              </w:rPr>
              <w:t>Structured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PET Positivity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0.96 (0.91-1.00)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0.91 (0.86-0.95)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0.00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sz w:val="14"/>
              </w:rPr>
              <w:t>Structured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Deauville Score (F1)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0.55 (0.43-0.67)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0.84 (0.79-0.88)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0.00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sz w:val="14"/>
              </w:rPr>
              <w:t>Downstream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Baseline F1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0.36 (0.26-0.47)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0.49 (0.40-0.60)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0.00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sz w:val="14"/>
              </w:rPr>
              <w:t>Downstream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Response Accuracy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0.69 (0.56-0.82)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0.97 (0.91-1.00)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0.00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sz w:val="14"/>
              </w:rPr>
              <w:t>Downstream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Cohen Kappa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0.52 (0.34-0.69)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0.95 (0.84-1.00)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0.00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sz w:val="14"/>
              </w:rPr>
              <w:t>Downstream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MRD AUC-ROC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0.87 (0.82-0.92)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0.87 (0.67-1.00)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0.80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 w:eastAsia="Helvetic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