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sz w:val="20"/>
        </w:rPr>
        <w:t>Supplementary Table S11 | Representative Extraction Examples Across Models</w:t>
      </w:r>
    </w:p>
    <w:p>
      <w:r>
        <w:rPr>
          <w:sz w:val="15"/>
        </w:rPr>
        <w:t>Sampled from 14 model comparison files. Showing first 30 representative cases including both correct extractions and errors.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single w:val="single" w:sz="30" w:space="0" w:color="000000"/>
          <w:single w:val="single" w:sz="30" w:space="0" w:color="000000"/>
          <w:left w:val="nil"/>
          <w:right w:val="nil"/>
          <w:insideH w:val="nil"/>
          <w:insideV w:val="nil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Model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Clinical Field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Gold Standard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Model Prediction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Status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骨髓浸润与骨质破坏模式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minimal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minimal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Correct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髓外病变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有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无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骨髓浸润与骨质破坏模式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Correct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局灶性病灶绝对数目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1–3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&gt;3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骨髓浸润与骨质破坏模式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diffuse infiltration and bone destruction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局灶性病灶绝对数目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&gt;3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骨折情况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新增,左侧第4、9肋、右侧第3、4、6、7肋,na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陈旧,左侧第4、9肋、右侧第3、4、6、7肋,良性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骨髓浸润与骨质破坏模式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diffuse infiltration and bone destruction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骨折情况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新增,左侧6-8肋、c3、t9、t12椎体,恶性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新增,左侧6-8肋及c3、t9、t12椎体,恶性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骨髓浸润与骨质破坏模式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diffuse infiltration and bone destruction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局灶性病灶绝对数目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&gt;3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局灶性病灶绝对数目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&gt;3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骨髓浸润与骨质破坏模式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diffuse infiltration and bone destruction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NA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局灶性病灶绝对数目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NA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长骨浸润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是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有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骨髓浸润与骨质破坏模式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focal lesions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骨折情况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新增,t6椎体、左4肋、左10肋,恶性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新增,左4肋及左10肋,恶性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骨髓浸润与骨质破坏模式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focal lesions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NA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局灶性病灶绝对数目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&gt;3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NA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髓外病变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无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有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髓旁病变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无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有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骨髓浸润与骨质破坏模式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diffuse infiltration and bone destruction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局灶性病灶绝对数目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&gt;3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骨折情况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陈旧,t7、t9、t10-l2、l4，良性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陈旧,t7、t9、t10-l2、l4,良性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骨髓浸润与骨质破坏模式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diffuse infiltration and bone destruction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局灶性病灶绝对数目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&gt;3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骨髓浸润与骨质破坏模式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focal lesions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局灶性病灶绝对数目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&gt;3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1–3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长骨浸润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是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有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Error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3"/>
              </w:rPr>
              <w:t>DeepSeek-V3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骨髓浸润与骨质破坏模式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diffuse infiltration and bone destruction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focal lesions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3"/>
              </w:rPr>
              <w:t>Error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 w:eastAsia="Helvetic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