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20"/>
        </w:rPr>
        <w:t>Supplementary Table S3 | Model Category Comparison (Mean F1)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Category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N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PET Pos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FL Loc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FL Count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EM Loc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EM Count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PM Count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Fracture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4"/>
              </w:rPr>
              <w:t>Reason-Large-Open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0.92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0.83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0.61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0.78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0.73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0.76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0.96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4"/>
              </w:rPr>
              <w:t>Reason-Small-Prop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0.95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0.83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0.63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0.81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0.58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0.62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0.93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4"/>
              </w:rPr>
              <w:t>NonReason-Large-Open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0.94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0.77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0.50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0.59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0.66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0.67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0.97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4"/>
              </w:rPr>
              <w:t>NonReason-Small-Open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0.93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0.80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0.47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0.36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0.45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0.59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0.95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4"/>
              </w:rPr>
              <w:t>NonReason-Large-Prop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0.91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0.80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0.54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0.74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0.52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0.62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0.95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4"/>
              </w:rPr>
              <w:t>NonReason-Small-Prop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0.95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0.78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0.61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0.71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0.42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0.43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4"/>
              </w:rPr>
              <w:t>0.95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