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sz w:val="20"/>
        </w:rPr>
        <w:t>Supplementary Table S5 | Optimization Gain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single w:val="single" w:sz="30" w:space="0" w:color="000000"/>
          <w:single w:val="single" w:sz="30" w:space="0" w:color="000000"/>
          <w:left w:val="nil"/>
          <w:right w:val="nil"/>
          <w:insideH w:val="nil"/>
          <w:insideV w:val="nil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Strategy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Exact Match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FL Count F1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EM Disease F1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SUVmax RMSE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14"/>
              </w:rPr>
              <w:t>Baseline (Qwen3-4B-Thinking)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0.71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0.54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0.78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1.13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14"/>
              </w:rPr>
              <w:t>+ 8-shot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0.77 (+0.06)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0.46 (-0.08)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0.73 (-0.05)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1.82 (+0.69)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14"/>
              </w:rPr>
              <w:t>+ LoRA 0-shot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0.77 (+0.06)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0.65 (+0.11)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0.89 (+0.11)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0.25 (-0.88)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sz w:val="14"/>
              </w:rPr>
              <w:t>+ LoRA 8-shot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0.60 (-0.11)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0.57 (+0.03)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0.76 (-0.02)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4"/>
              </w:rPr>
              <w:t>0.80 (-0.33)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 w:eastAsia="Helvetic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