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28738">
      <w:pPr>
        <w:spacing w:after="80"/>
        <w:jc w:val="left"/>
      </w:pPr>
      <w:r>
        <w:rPr>
          <w:rFonts w:ascii="Helvetica" w:hAnsi="Helvetica"/>
          <w:b/>
          <w:sz w:val="20"/>
        </w:rPr>
        <w:t>Table X | External Validation: Downstream Clinical Tasks (n=162)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7CA7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1785C43B">
            <w:pPr>
              <w:spacing w:after="0" w:line="240" w:lineRule="auto"/>
              <w:jc w:val="center"/>
            </w:pPr>
            <w:r>
              <w:rPr>
                <w:rFonts w:ascii="Helvetica" w:hAnsi="Helvetica"/>
                <w:b/>
                <w:sz w:val="14"/>
              </w:rPr>
              <w:t>Metric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6D6E4ED7">
            <w:pPr>
              <w:spacing w:after="0" w:line="240" w:lineRule="auto"/>
              <w:jc w:val="center"/>
            </w:pPr>
            <w:r>
              <w:rPr>
                <w:rFonts w:ascii="Helvetica" w:hAnsi="Helvetica"/>
                <w:b/>
                <w:sz w:val="14"/>
              </w:rPr>
              <w:t>Internal (95% CI)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0517AC57">
            <w:pPr>
              <w:spacing w:after="0" w:line="240" w:lineRule="auto"/>
              <w:jc w:val="center"/>
            </w:pPr>
            <w:r>
              <w:rPr>
                <w:rFonts w:ascii="Helvetica" w:hAnsi="Helvetica"/>
                <w:b/>
                <w:sz w:val="14"/>
              </w:rPr>
              <w:t>External (95% CI)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35FE6BC4">
            <w:pPr>
              <w:spacing w:after="0" w:line="240" w:lineRule="auto"/>
              <w:jc w:val="center"/>
            </w:pPr>
            <w:r>
              <w:rPr>
                <w:rFonts w:ascii="Helvetica" w:hAnsi="Helvetica"/>
                <w:b/>
                <w:sz w:val="14"/>
              </w:rPr>
              <w:t>P value</w:t>
            </w:r>
          </w:p>
        </w:tc>
      </w:tr>
      <w:tr w14:paraId="25E334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35B88E83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Baseline Classification</w:t>
            </w:r>
          </w:p>
        </w:tc>
        <w:tc>
          <w:tcPr>
            <w:tcW w:w="2160" w:type="dxa"/>
            <w:vAlign w:val="center"/>
          </w:tcPr>
          <w:p w14:paraId="39588168">
            <w:pPr>
              <w:spacing w:after="0" w:line="240" w:lineRule="auto"/>
              <w:jc w:val="center"/>
            </w:pPr>
          </w:p>
        </w:tc>
        <w:tc>
          <w:tcPr>
            <w:tcW w:w="2160" w:type="dxa"/>
            <w:vAlign w:val="center"/>
          </w:tcPr>
          <w:p w14:paraId="2B38A722">
            <w:pPr>
              <w:spacing w:after="0" w:line="240" w:lineRule="auto"/>
              <w:jc w:val="center"/>
            </w:pPr>
          </w:p>
        </w:tc>
        <w:tc>
          <w:tcPr>
            <w:tcW w:w="2160" w:type="dxa"/>
            <w:vAlign w:val="center"/>
          </w:tcPr>
          <w:p w14:paraId="1918947D">
            <w:pPr>
              <w:spacing w:after="0" w:line="240" w:lineRule="auto"/>
              <w:jc w:val="center"/>
            </w:pPr>
          </w:p>
        </w:tc>
      </w:tr>
      <w:tr w14:paraId="0B749D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4C79BE8C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Weighted F1</w:t>
            </w:r>
          </w:p>
        </w:tc>
        <w:tc>
          <w:tcPr>
            <w:tcW w:w="2160" w:type="dxa"/>
            <w:vAlign w:val="center"/>
          </w:tcPr>
          <w:p w14:paraId="77B9A1C1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0.36 (0.26–0.47)</w:t>
            </w:r>
          </w:p>
        </w:tc>
        <w:tc>
          <w:tcPr>
            <w:tcW w:w="2160" w:type="dxa"/>
            <w:vAlign w:val="center"/>
          </w:tcPr>
          <w:p w14:paraId="56BF6B07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0.49 (0.40–0.60)</w:t>
            </w:r>
          </w:p>
        </w:tc>
        <w:tc>
          <w:tcPr>
            <w:tcW w:w="2160" w:type="dxa"/>
            <w:vAlign w:val="center"/>
          </w:tcPr>
          <w:p w14:paraId="16A8EC1F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4B8683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24126A5A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Accuracy (%)</w:t>
            </w:r>
          </w:p>
        </w:tc>
        <w:tc>
          <w:tcPr>
            <w:tcW w:w="2160" w:type="dxa"/>
            <w:vAlign w:val="center"/>
          </w:tcPr>
          <w:p w14:paraId="3491FA9D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0.40 (0.32–0.50)</w:t>
            </w:r>
          </w:p>
        </w:tc>
        <w:tc>
          <w:tcPr>
            <w:tcW w:w="2160" w:type="dxa"/>
            <w:vAlign w:val="center"/>
          </w:tcPr>
          <w:p w14:paraId="416977C1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0.52 (0.44–0.62)</w:t>
            </w:r>
          </w:p>
        </w:tc>
        <w:tc>
          <w:tcPr>
            <w:tcW w:w="2160" w:type="dxa"/>
            <w:vAlign w:val="center"/>
          </w:tcPr>
          <w:p w14:paraId="1A3E7FC2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0.15</w:t>
            </w:r>
          </w:p>
        </w:tc>
      </w:tr>
      <w:tr w14:paraId="0C8617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4BB63BFB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Response Evaluation</w:t>
            </w:r>
          </w:p>
        </w:tc>
        <w:tc>
          <w:tcPr>
            <w:tcW w:w="2160" w:type="dxa"/>
            <w:vAlign w:val="center"/>
          </w:tcPr>
          <w:p w14:paraId="735A8086">
            <w:pPr>
              <w:spacing w:after="0" w:line="240" w:lineRule="auto"/>
              <w:jc w:val="center"/>
            </w:pPr>
          </w:p>
        </w:tc>
        <w:tc>
          <w:tcPr>
            <w:tcW w:w="2160" w:type="dxa"/>
            <w:vAlign w:val="center"/>
          </w:tcPr>
          <w:p w14:paraId="1BF227DD">
            <w:pPr>
              <w:spacing w:after="0" w:line="240" w:lineRule="auto"/>
              <w:jc w:val="center"/>
            </w:pPr>
          </w:p>
        </w:tc>
        <w:tc>
          <w:tcPr>
            <w:tcW w:w="2160" w:type="dxa"/>
            <w:vAlign w:val="center"/>
          </w:tcPr>
          <w:p w14:paraId="575475BB">
            <w:pPr>
              <w:spacing w:after="0" w:line="240" w:lineRule="auto"/>
              <w:jc w:val="center"/>
            </w:pPr>
          </w:p>
        </w:tc>
      </w:tr>
      <w:tr w14:paraId="34E65F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17F2C7F4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Accuracy (%)</w:t>
            </w:r>
          </w:p>
        </w:tc>
        <w:tc>
          <w:tcPr>
            <w:tcW w:w="2160" w:type="dxa"/>
            <w:vAlign w:val="center"/>
          </w:tcPr>
          <w:p w14:paraId="68273CA7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0.69 (0.56–0.82)</w:t>
            </w:r>
          </w:p>
        </w:tc>
        <w:tc>
          <w:tcPr>
            <w:tcW w:w="2160" w:type="dxa"/>
            <w:vAlign w:val="center"/>
          </w:tcPr>
          <w:p w14:paraId="62CF15D1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0.97 (0.91–1.00)</w:t>
            </w:r>
          </w:p>
        </w:tc>
        <w:tc>
          <w:tcPr>
            <w:tcW w:w="2160" w:type="dxa"/>
            <w:vAlign w:val="center"/>
          </w:tcPr>
          <w:p w14:paraId="4D56BF74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73C5B7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797ABC74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Cohen's Kappa</w:t>
            </w:r>
          </w:p>
        </w:tc>
        <w:tc>
          <w:tcPr>
            <w:tcW w:w="2160" w:type="dxa"/>
            <w:vAlign w:val="center"/>
          </w:tcPr>
          <w:p w14:paraId="017AEA9D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0.52 (0.34–0.69)</w:t>
            </w:r>
          </w:p>
        </w:tc>
        <w:tc>
          <w:tcPr>
            <w:tcW w:w="2160" w:type="dxa"/>
            <w:vAlign w:val="center"/>
          </w:tcPr>
          <w:p w14:paraId="579F6FAD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0.95 (0.84–1.00)</w:t>
            </w:r>
          </w:p>
        </w:tc>
        <w:tc>
          <w:tcPr>
            <w:tcW w:w="2160" w:type="dxa"/>
            <w:vAlign w:val="center"/>
          </w:tcPr>
          <w:p w14:paraId="790AC14C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518BC1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2AC6A9A4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MRD Assessment</w:t>
            </w:r>
          </w:p>
        </w:tc>
        <w:tc>
          <w:tcPr>
            <w:tcW w:w="2160" w:type="dxa"/>
            <w:vAlign w:val="center"/>
          </w:tcPr>
          <w:p w14:paraId="6A0C287C">
            <w:pPr>
              <w:spacing w:after="0" w:line="240" w:lineRule="auto"/>
              <w:jc w:val="center"/>
            </w:pPr>
          </w:p>
        </w:tc>
        <w:tc>
          <w:tcPr>
            <w:tcW w:w="2160" w:type="dxa"/>
            <w:vAlign w:val="center"/>
          </w:tcPr>
          <w:p w14:paraId="3FD4E68A">
            <w:pPr>
              <w:spacing w:after="0" w:line="240" w:lineRule="auto"/>
              <w:jc w:val="center"/>
            </w:pPr>
          </w:p>
        </w:tc>
        <w:tc>
          <w:tcPr>
            <w:tcW w:w="2160" w:type="dxa"/>
            <w:vAlign w:val="center"/>
          </w:tcPr>
          <w:p w14:paraId="6018038B">
            <w:pPr>
              <w:spacing w:after="0" w:line="240" w:lineRule="auto"/>
              <w:jc w:val="center"/>
            </w:pPr>
          </w:p>
        </w:tc>
      </w:tr>
      <w:tr w14:paraId="48BEE0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367A789C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AUC-ROC</w:t>
            </w:r>
          </w:p>
        </w:tc>
        <w:tc>
          <w:tcPr>
            <w:tcW w:w="2160" w:type="dxa"/>
            <w:vAlign w:val="center"/>
          </w:tcPr>
          <w:p w14:paraId="59CE496E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0.87 (0.82–0.92)</w:t>
            </w:r>
          </w:p>
        </w:tc>
        <w:tc>
          <w:tcPr>
            <w:tcW w:w="2160" w:type="dxa"/>
            <w:vAlign w:val="center"/>
          </w:tcPr>
          <w:p w14:paraId="1CD766F0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0.87 (0.67–1.00)</w:t>
            </w:r>
          </w:p>
        </w:tc>
        <w:tc>
          <w:tcPr>
            <w:tcW w:w="2160" w:type="dxa"/>
            <w:vAlign w:val="center"/>
          </w:tcPr>
          <w:p w14:paraId="5011AD53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0.8</w:t>
            </w:r>
          </w:p>
        </w:tc>
      </w:tr>
      <w:tr w14:paraId="15B7F7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58098958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AUC-PR</w:t>
            </w:r>
          </w:p>
        </w:tc>
        <w:tc>
          <w:tcPr>
            <w:tcW w:w="2160" w:type="dxa"/>
            <w:vAlign w:val="center"/>
          </w:tcPr>
          <w:p w14:paraId="5D1DECB1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0.49 (0.35–0.68)</w:t>
            </w:r>
          </w:p>
        </w:tc>
        <w:tc>
          <w:tcPr>
            <w:tcW w:w="2160" w:type="dxa"/>
            <w:vAlign w:val="center"/>
          </w:tcPr>
          <w:p w14:paraId="7F7642C2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0.24 (0.06–1.00)</w:t>
            </w:r>
          </w:p>
        </w:tc>
        <w:tc>
          <w:tcPr>
            <w:tcW w:w="2160" w:type="dxa"/>
            <w:vAlign w:val="center"/>
          </w:tcPr>
          <w:p w14:paraId="11A54B00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5189C3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445F061D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Sensitivity (%)</w:t>
            </w:r>
          </w:p>
        </w:tc>
        <w:tc>
          <w:tcPr>
            <w:tcW w:w="2160" w:type="dxa"/>
            <w:vAlign w:val="center"/>
          </w:tcPr>
          <w:p w14:paraId="6778F76A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0.00 (0.00–0.00)</w:t>
            </w:r>
          </w:p>
        </w:tc>
        <w:tc>
          <w:tcPr>
            <w:tcW w:w="2160" w:type="dxa"/>
            <w:vAlign w:val="center"/>
          </w:tcPr>
          <w:p w14:paraId="2DF38C8A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0.00 (0.00–0.00)</w:t>
            </w:r>
          </w:p>
        </w:tc>
        <w:tc>
          <w:tcPr>
            <w:tcW w:w="2160" w:type="dxa"/>
            <w:vAlign w:val="center"/>
          </w:tcPr>
          <w:p w14:paraId="61A139B8">
            <w:pPr>
              <w:spacing w:after="0" w:line="240" w:lineRule="auto"/>
              <w:jc w:val="center"/>
            </w:pPr>
          </w:p>
        </w:tc>
      </w:tr>
      <w:tr w14:paraId="4FC41B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10CE4FFD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Specificity (%)</w:t>
            </w:r>
          </w:p>
        </w:tc>
        <w:tc>
          <w:tcPr>
            <w:tcW w:w="2160" w:type="dxa"/>
            <w:vAlign w:val="center"/>
          </w:tcPr>
          <w:p w14:paraId="40945A36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1.00 (1.00–1.00)</w:t>
            </w:r>
          </w:p>
        </w:tc>
        <w:tc>
          <w:tcPr>
            <w:tcW w:w="2160" w:type="dxa"/>
            <w:vAlign w:val="center"/>
          </w:tcPr>
          <w:p w14:paraId="0E451812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1.00 (1.00–1.00)</w:t>
            </w:r>
          </w:p>
        </w:tc>
        <w:tc>
          <w:tcPr>
            <w:tcW w:w="2160" w:type="dxa"/>
            <w:vAlign w:val="center"/>
          </w:tcPr>
          <w:p w14:paraId="5A472172">
            <w:pPr>
              <w:spacing w:after="0" w:line="240" w:lineRule="auto"/>
              <w:jc w:val="center"/>
            </w:pPr>
          </w:p>
        </w:tc>
      </w:tr>
    </w:tbl>
    <w:p w14:paraId="1A464AB9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47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Helvetica" w:hAnsi="Helvetica" w:eastAsia="Helvetic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543</Characters>
  <Lines>0</Lines>
  <Paragraphs>0</Paragraphs>
  <TotalTime>0</TotalTime>
  <ScaleCrop>false</ScaleCrop>
  <LinksUpToDate>false</LinksUpToDate>
  <CharactersWithSpaces>586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森</cp:lastModifiedBy>
  <dcterms:modified xsi:type="dcterms:W3CDTF">2026-08-10T17:43:22Z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eyJoZGlkIjoiMjBkMmEwOTE2NWI5ZTNlZGVmNDY3ZjU2ZjJiZDA1Y2MiLCJ1c2VySWQiOiIxMTQ1OTg2MzQ3In0=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72BBC659A80A4CE8B3BC0E4F22B4413D_12</vt:lpwstr>
  </property>
</Properties>
</file>