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7D829">
      <w:pPr>
        <w:spacing w:after="80"/>
        <w:jc w:val="center"/>
      </w:pPr>
      <w:r>
        <w:rPr>
          <w:rFonts w:ascii="Helvetica" w:hAnsi="Helvetica"/>
          <w:b/>
          <w:sz w:val="20"/>
        </w:rPr>
        <w:t>Table 1 | Baseline Characteristics of Patients and Distribution of Imaging Reports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9"/>
        <w:gridCol w:w="2537"/>
      </w:tblGrid>
      <w:tr w14:paraId="1FC05D7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567" w:type="pct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09F152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Helvetica" w:hAnsi="Helvetica"/>
                <w:b/>
                <w:sz w:val="18"/>
              </w:rPr>
              <w:t>Characteristic</w:t>
            </w:r>
          </w:p>
        </w:tc>
        <w:tc>
          <w:tcPr>
            <w:tcW w:w="1432" w:type="pct"/>
            <w:tcBorders>
              <w:top w:val="nil"/>
              <w:left w:val="nil"/>
              <w:bottom w:val="single" w:color="000000" w:sz="14" w:space="0"/>
              <w:right w:val="nil"/>
            </w:tcBorders>
            <w:vAlign w:val="center"/>
          </w:tcPr>
          <w:p w14:paraId="5A2B03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Helvetica" w:hAnsi="Helvetica"/>
                <w:b/>
                <w:sz w:val="18"/>
              </w:rPr>
              <w:t>Value (n = 238 patients / 364 reports)</w:t>
            </w:r>
          </w:p>
        </w:tc>
      </w:tr>
      <w:tr w14:paraId="4924F9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1D9E1C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432" w:type="pct"/>
            <w:vAlign w:val="center"/>
          </w:tcPr>
          <w:p w14:paraId="191103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2FCA52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1D8A80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Age (years), mean ± SD</w:t>
            </w:r>
          </w:p>
        </w:tc>
        <w:tc>
          <w:tcPr>
            <w:tcW w:w="1432" w:type="pct"/>
            <w:vAlign w:val="center"/>
          </w:tcPr>
          <w:p w14:paraId="3712D6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62.2 ± 9.3</w:t>
            </w:r>
          </w:p>
        </w:tc>
      </w:tr>
      <w:tr w14:paraId="43EF61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755845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Gender, n (%)</w:t>
            </w:r>
          </w:p>
        </w:tc>
        <w:tc>
          <w:tcPr>
            <w:tcW w:w="1432" w:type="pct"/>
            <w:vAlign w:val="center"/>
          </w:tcPr>
          <w:p w14:paraId="44E081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</w:p>
        </w:tc>
      </w:tr>
      <w:tr w14:paraId="5EF24D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7F6532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Male</w:t>
            </w:r>
          </w:p>
        </w:tc>
        <w:tc>
          <w:tcPr>
            <w:tcW w:w="1432" w:type="pct"/>
            <w:vAlign w:val="center"/>
          </w:tcPr>
          <w:p w14:paraId="6A8CC5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148 (62.2)</w:t>
            </w:r>
          </w:p>
        </w:tc>
      </w:tr>
      <w:tr w14:paraId="1A22B4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12AB92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Female</w:t>
            </w:r>
          </w:p>
        </w:tc>
        <w:tc>
          <w:tcPr>
            <w:tcW w:w="1432" w:type="pct"/>
            <w:vAlign w:val="center"/>
          </w:tcPr>
          <w:p w14:paraId="102FEF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90 (37.8)</w:t>
            </w:r>
          </w:p>
        </w:tc>
      </w:tr>
      <w:tr w14:paraId="7B4A91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168D4F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Helvetica" w:hAnsi="Helvetica"/>
                <w:sz w:val="17"/>
              </w:rPr>
              <w:t>ISS Stage, n (%)</w:t>
            </w:r>
          </w:p>
        </w:tc>
        <w:tc>
          <w:tcPr>
            <w:tcW w:w="1432" w:type="pct"/>
            <w:vAlign w:val="center"/>
          </w:tcPr>
          <w:p w14:paraId="5C1FF5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04E303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1D59E9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Stage I</w:t>
            </w:r>
          </w:p>
        </w:tc>
        <w:tc>
          <w:tcPr>
            <w:tcW w:w="1432" w:type="pct"/>
            <w:vAlign w:val="center"/>
          </w:tcPr>
          <w:p w14:paraId="54A90F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62 (26.1)</w:t>
            </w:r>
          </w:p>
        </w:tc>
      </w:tr>
      <w:tr w14:paraId="29BE20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765F63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Stage II</w:t>
            </w:r>
          </w:p>
        </w:tc>
        <w:tc>
          <w:tcPr>
            <w:tcW w:w="1432" w:type="pct"/>
            <w:vAlign w:val="center"/>
          </w:tcPr>
          <w:p w14:paraId="30E342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70 (29.4)</w:t>
            </w:r>
          </w:p>
        </w:tc>
      </w:tr>
      <w:tr w14:paraId="0F1B63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5C5A19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Stage III</w:t>
            </w:r>
          </w:p>
        </w:tc>
        <w:tc>
          <w:tcPr>
            <w:tcW w:w="1432" w:type="pct"/>
            <w:vAlign w:val="center"/>
          </w:tcPr>
          <w:p w14:paraId="220321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106 (44.5)</w:t>
            </w:r>
          </w:p>
        </w:tc>
      </w:tr>
      <w:tr w14:paraId="60FB3DE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28FD4C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R-ISS Stage, n (%)</w:t>
            </w:r>
          </w:p>
        </w:tc>
        <w:tc>
          <w:tcPr>
            <w:tcW w:w="1432" w:type="pct"/>
            <w:vAlign w:val="center"/>
          </w:tcPr>
          <w:p w14:paraId="05E1C4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</w:p>
        </w:tc>
      </w:tr>
      <w:tr w14:paraId="5BB3F56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33A8AF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R-ISS I</w:t>
            </w:r>
          </w:p>
        </w:tc>
        <w:tc>
          <w:tcPr>
            <w:tcW w:w="1432" w:type="pct"/>
            <w:vAlign w:val="center"/>
          </w:tcPr>
          <w:p w14:paraId="2E29CE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48 (20.2)</w:t>
            </w:r>
          </w:p>
        </w:tc>
      </w:tr>
      <w:tr w14:paraId="4B8B91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76D70C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R-ISS II</w:t>
            </w:r>
          </w:p>
        </w:tc>
        <w:tc>
          <w:tcPr>
            <w:tcW w:w="1432" w:type="pct"/>
            <w:vAlign w:val="center"/>
          </w:tcPr>
          <w:p w14:paraId="60BAA8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150 (63.0)</w:t>
            </w:r>
          </w:p>
        </w:tc>
      </w:tr>
      <w:tr w14:paraId="3FE64A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082998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R-ISS III</w:t>
            </w:r>
          </w:p>
        </w:tc>
        <w:tc>
          <w:tcPr>
            <w:tcW w:w="1432" w:type="pct"/>
            <w:vAlign w:val="center"/>
          </w:tcPr>
          <w:p w14:paraId="5487A98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40 (16.8)</w:t>
            </w:r>
          </w:p>
        </w:tc>
      </w:tr>
      <w:tr w14:paraId="12358E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37238B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Helvetica" w:hAnsi="Helvetica"/>
                <w:sz w:val="17"/>
              </w:rPr>
              <w:t>Durie-Salmon Stage, n (%)</w:t>
            </w:r>
          </w:p>
        </w:tc>
        <w:tc>
          <w:tcPr>
            <w:tcW w:w="1432" w:type="pct"/>
            <w:vAlign w:val="center"/>
          </w:tcPr>
          <w:p w14:paraId="4D7F9A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177ADC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137AE6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Stage I</w:t>
            </w:r>
          </w:p>
        </w:tc>
        <w:tc>
          <w:tcPr>
            <w:tcW w:w="1432" w:type="pct"/>
            <w:vAlign w:val="center"/>
          </w:tcPr>
          <w:p w14:paraId="4DC549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14 (5.9)</w:t>
            </w:r>
          </w:p>
        </w:tc>
      </w:tr>
      <w:tr w14:paraId="6805A1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49C8C7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Stage II</w:t>
            </w:r>
          </w:p>
        </w:tc>
        <w:tc>
          <w:tcPr>
            <w:tcW w:w="1432" w:type="pct"/>
            <w:vAlign w:val="center"/>
          </w:tcPr>
          <w:p w14:paraId="1F4435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30 (12.6)</w:t>
            </w:r>
          </w:p>
        </w:tc>
      </w:tr>
      <w:tr w14:paraId="2E7962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503338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Stage III</w:t>
            </w:r>
          </w:p>
        </w:tc>
        <w:tc>
          <w:tcPr>
            <w:tcW w:w="1432" w:type="pct"/>
            <w:vAlign w:val="center"/>
          </w:tcPr>
          <w:p w14:paraId="1E0CC3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194 (81.5)</w:t>
            </w:r>
          </w:p>
        </w:tc>
      </w:tr>
      <w:tr w14:paraId="37E874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54AE14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Helvetica" w:hAnsi="Helvetica"/>
                <w:sz w:val="17"/>
              </w:rPr>
              <w:t>First-line treatment, n (%) [n=238]</w:t>
            </w:r>
          </w:p>
        </w:tc>
        <w:tc>
          <w:tcPr>
            <w:tcW w:w="1432" w:type="pct"/>
            <w:vAlign w:val="center"/>
          </w:tcPr>
          <w:p w14:paraId="5BEF56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4035FC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5CB1B9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PI-based</w:t>
            </w:r>
          </w:p>
        </w:tc>
        <w:tc>
          <w:tcPr>
            <w:tcW w:w="1432" w:type="pct"/>
            <w:vAlign w:val="center"/>
          </w:tcPr>
          <w:p w14:paraId="78D0E6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120 (50.4)</w:t>
            </w:r>
          </w:p>
        </w:tc>
      </w:tr>
      <w:tr w14:paraId="24CC19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36AF72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PI + IMiD</w:t>
            </w:r>
          </w:p>
        </w:tc>
        <w:tc>
          <w:tcPr>
            <w:tcW w:w="1432" w:type="pct"/>
            <w:vAlign w:val="center"/>
          </w:tcPr>
          <w:p w14:paraId="25D560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113 (47.5)</w:t>
            </w:r>
          </w:p>
        </w:tc>
      </w:tr>
      <w:tr w14:paraId="38C526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565969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Other</w:t>
            </w:r>
          </w:p>
        </w:tc>
        <w:tc>
          <w:tcPr>
            <w:tcW w:w="1432" w:type="pct"/>
            <w:vAlign w:val="center"/>
          </w:tcPr>
          <w:p w14:paraId="46B0C5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5 (2.1)</w:t>
            </w:r>
          </w:p>
        </w:tc>
      </w:tr>
      <w:tr w14:paraId="63760C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122A41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ASCT, n (%)</w:t>
            </w:r>
          </w:p>
        </w:tc>
        <w:tc>
          <w:tcPr>
            <w:tcW w:w="1432" w:type="pct"/>
            <w:vAlign w:val="center"/>
          </w:tcPr>
          <w:p w14:paraId="6B0C7A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63 (26.5)</w:t>
            </w:r>
          </w:p>
        </w:tc>
      </w:tr>
      <w:tr w14:paraId="6D7D82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6F5739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Follow-up, median (IQR), months</w:t>
            </w:r>
          </w:p>
        </w:tc>
        <w:tc>
          <w:tcPr>
            <w:tcW w:w="1432" w:type="pct"/>
            <w:vAlign w:val="center"/>
          </w:tcPr>
          <w:p w14:paraId="7DF818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51.0 (25.6–75.5)</w:t>
            </w:r>
          </w:p>
        </w:tc>
      </w:tr>
      <w:tr w14:paraId="1854C7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18459A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432" w:type="pct"/>
            <w:vAlign w:val="center"/>
          </w:tcPr>
          <w:p w14:paraId="18F204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05A20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2C3904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Reports (n = 364)</w:t>
            </w:r>
          </w:p>
        </w:tc>
        <w:tc>
          <w:tcPr>
            <w:tcW w:w="1432" w:type="pct"/>
            <w:vAlign w:val="center"/>
          </w:tcPr>
          <w:p w14:paraId="2D8C98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n (%)</w:t>
            </w:r>
          </w:p>
        </w:tc>
      </w:tr>
      <w:tr w14:paraId="6E8EEA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57890E9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Baseline assessment</w:t>
            </w:r>
          </w:p>
        </w:tc>
        <w:tc>
          <w:tcPr>
            <w:tcW w:w="1432" w:type="pct"/>
            <w:vAlign w:val="center"/>
          </w:tcPr>
          <w:p w14:paraId="1F0401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122 (33.5)</w:t>
            </w:r>
          </w:p>
        </w:tc>
      </w:tr>
      <w:tr w14:paraId="668CE42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25CC44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Follow-up assessment</w:t>
            </w:r>
          </w:p>
        </w:tc>
        <w:tc>
          <w:tcPr>
            <w:tcW w:w="1432" w:type="pct"/>
            <w:vAlign w:val="center"/>
          </w:tcPr>
          <w:p w14:paraId="79F3BD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242 (66.5)</w:t>
            </w:r>
          </w:p>
        </w:tc>
      </w:tr>
      <w:tr w14:paraId="7B9D5D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31995D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PET Positivity</w:t>
            </w:r>
          </w:p>
        </w:tc>
        <w:tc>
          <w:tcPr>
            <w:tcW w:w="1432" w:type="pct"/>
            <w:vAlign w:val="center"/>
          </w:tcPr>
          <w:p w14:paraId="1013EB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</w:p>
        </w:tc>
      </w:tr>
      <w:tr w14:paraId="115BCB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275AE4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PET-positive</w:t>
            </w:r>
          </w:p>
        </w:tc>
        <w:tc>
          <w:tcPr>
            <w:tcW w:w="1432" w:type="pct"/>
            <w:vAlign w:val="center"/>
          </w:tcPr>
          <w:p w14:paraId="0E4635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325 (89.3)</w:t>
            </w:r>
          </w:p>
        </w:tc>
      </w:tr>
      <w:tr w14:paraId="6CAD69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03E722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PET-negative</w:t>
            </w:r>
          </w:p>
        </w:tc>
        <w:tc>
          <w:tcPr>
            <w:tcW w:w="1432" w:type="pct"/>
            <w:vAlign w:val="center"/>
          </w:tcPr>
          <w:p w14:paraId="06803B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39 (10.7)</w:t>
            </w:r>
          </w:p>
        </w:tc>
      </w:tr>
      <w:tr w14:paraId="289708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35005E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Helvetica" w:hAnsi="Helvetica"/>
                <w:sz w:val="17"/>
              </w:rPr>
              <w:t>Focal lesion count</w:t>
            </w:r>
          </w:p>
        </w:tc>
        <w:tc>
          <w:tcPr>
            <w:tcW w:w="1432" w:type="pct"/>
            <w:vAlign w:val="center"/>
          </w:tcPr>
          <w:p w14:paraId="1761B3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5AC44C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2CE9DD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0</w:t>
            </w:r>
          </w:p>
        </w:tc>
        <w:tc>
          <w:tcPr>
            <w:tcW w:w="1432" w:type="pct"/>
            <w:vAlign w:val="center"/>
          </w:tcPr>
          <w:p w14:paraId="2CA7F8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108 (29.7)</w:t>
            </w:r>
          </w:p>
        </w:tc>
      </w:tr>
      <w:tr w14:paraId="643528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4414E8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1–3</w:t>
            </w:r>
          </w:p>
        </w:tc>
        <w:tc>
          <w:tcPr>
            <w:tcW w:w="1432" w:type="pct"/>
            <w:vAlign w:val="center"/>
          </w:tcPr>
          <w:p w14:paraId="6B4F33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51 (14.0)</w:t>
            </w:r>
          </w:p>
        </w:tc>
      </w:tr>
      <w:tr w14:paraId="0EDDEE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264830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&gt;3</w:t>
            </w:r>
          </w:p>
        </w:tc>
        <w:tc>
          <w:tcPr>
            <w:tcW w:w="1432" w:type="pct"/>
            <w:vAlign w:val="center"/>
          </w:tcPr>
          <w:p w14:paraId="33806A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154 (42.3)</w:t>
            </w:r>
          </w:p>
        </w:tc>
      </w:tr>
      <w:tr w14:paraId="2C245B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697A5F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NA</w:t>
            </w:r>
          </w:p>
        </w:tc>
        <w:tc>
          <w:tcPr>
            <w:tcW w:w="1432" w:type="pct"/>
            <w:vAlign w:val="center"/>
          </w:tcPr>
          <w:p w14:paraId="448099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51 (14.0)</w:t>
            </w:r>
          </w:p>
        </w:tc>
      </w:tr>
      <w:tr w14:paraId="28C92C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0EC394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Extramedullary disease</w:t>
            </w:r>
          </w:p>
        </w:tc>
        <w:tc>
          <w:tcPr>
            <w:tcW w:w="1432" w:type="pct"/>
            <w:vAlign w:val="center"/>
          </w:tcPr>
          <w:p w14:paraId="421C51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97 (26.6)</w:t>
            </w:r>
          </w:p>
        </w:tc>
      </w:tr>
      <w:tr w14:paraId="000F5D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761570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Paramedullary disease</w:t>
            </w:r>
          </w:p>
        </w:tc>
        <w:tc>
          <w:tcPr>
            <w:tcW w:w="1432" w:type="pct"/>
            <w:vAlign w:val="center"/>
          </w:tcPr>
          <w:p w14:paraId="3535AE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122 (33.5)</w:t>
            </w:r>
          </w:p>
        </w:tc>
      </w:tr>
      <w:tr w14:paraId="051DAE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753BBA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Diffuse infiltration</w:t>
            </w:r>
          </w:p>
        </w:tc>
        <w:tc>
          <w:tcPr>
            <w:tcW w:w="1432" w:type="pct"/>
            <w:vAlign w:val="center"/>
          </w:tcPr>
          <w:p w14:paraId="2B4AAC6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49 (29.6)</w:t>
            </w:r>
          </w:p>
        </w:tc>
      </w:tr>
      <w:tr w14:paraId="6171DB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716726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Mixed infiltration</w:t>
            </w:r>
          </w:p>
        </w:tc>
        <w:tc>
          <w:tcPr>
            <w:tcW w:w="1432" w:type="pct"/>
            <w:vAlign w:val="center"/>
          </w:tcPr>
          <w:p w14:paraId="0B2E88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39 (26.6)</w:t>
            </w:r>
          </w:p>
        </w:tc>
      </w:tr>
      <w:tr w14:paraId="16400A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69A48A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Osteolytic lesions</w:t>
            </w:r>
          </w:p>
        </w:tc>
        <w:tc>
          <w:tcPr>
            <w:tcW w:w="1432" w:type="pct"/>
            <w:vAlign w:val="center"/>
          </w:tcPr>
          <w:p w14:paraId="59DE49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198 (54.4)</w:t>
            </w:r>
          </w:p>
        </w:tc>
      </w:tr>
      <w:tr w14:paraId="037561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6EEA1C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Pathological fractures</w:t>
            </w:r>
          </w:p>
        </w:tc>
        <w:tc>
          <w:tcPr>
            <w:tcW w:w="1432" w:type="pct"/>
            <w:vAlign w:val="center"/>
          </w:tcPr>
          <w:p w14:paraId="5E3FC8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160 (44.0)</w:t>
            </w:r>
          </w:p>
        </w:tc>
      </w:tr>
      <w:tr w14:paraId="4FB106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16179A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Helvetica" w:hAnsi="Helvetica"/>
                <w:sz w:val="17"/>
              </w:rPr>
              <w:t>Fracture locations</w:t>
            </w:r>
          </w:p>
        </w:tc>
        <w:tc>
          <w:tcPr>
            <w:tcW w:w="1432" w:type="pct"/>
            <w:vAlign w:val="center"/>
          </w:tcPr>
          <w:p w14:paraId="7959EF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B874D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361126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Ex-Sp (extraspinal)</w:t>
            </w:r>
          </w:p>
        </w:tc>
        <w:tc>
          <w:tcPr>
            <w:tcW w:w="1432" w:type="pct"/>
            <w:vAlign w:val="center"/>
          </w:tcPr>
          <w:p w14:paraId="4BFE66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109 (29.9)</w:t>
            </w:r>
          </w:p>
        </w:tc>
      </w:tr>
      <w:tr w14:paraId="0C9853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376E38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SP (spinal)</w:t>
            </w:r>
          </w:p>
        </w:tc>
        <w:tc>
          <w:tcPr>
            <w:tcW w:w="1432" w:type="pct"/>
            <w:vAlign w:val="center"/>
          </w:tcPr>
          <w:p w14:paraId="1F4428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48 (13.2)</w:t>
            </w:r>
          </w:p>
        </w:tc>
      </w:tr>
      <w:tr w14:paraId="0049E1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5B5B4B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Other</w:t>
            </w:r>
          </w:p>
        </w:tc>
        <w:tc>
          <w:tcPr>
            <w:tcW w:w="1432" w:type="pct"/>
            <w:vAlign w:val="center"/>
          </w:tcPr>
          <w:p w14:paraId="43EF8E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12 (3.3)</w:t>
            </w:r>
          </w:p>
        </w:tc>
      </w:tr>
      <w:tr w14:paraId="79D712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303C5F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SUVmax, median (IQR)</w:t>
            </w:r>
          </w:p>
        </w:tc>
        <w:tc>
          <w:tcPr>
            <w:tcW w:w="1432" w:type="pct"/>
            <w:vAlign w:val="center"/>
          </w:tcPr>
          <w:p w14:paraId="19B189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Helvetica" w:eastAsia="Helvetica"/>
                <w:sz w:val="17"/>
              </w:rPr>
            </w:pPr>
            <w:r>
              <w:rPr>
                <w:rFonts w:ascii="Helvetica" w:hAnsi="Helvetica" w:eastAsia="Helvetica"/>
                <w:sz w:val="17"/>
              </w:rPr>
              <w:t>3.7 (3.0–4.7)</w:t>
            </w:r>
          </w:p>
        </w:tc>
      </w:tr>
      <w:tr w14:paraId="21F3C3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567" w:type="pct"/>
            <w:vAlign w:val="center"/>
          </w:tcPr>
          <w:p w14:paraId="5CAE7F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432" w:type="pct"/>
            <w:vAlign w:val="center"/>
          </w:tcPr>
          <w:p w14:paraId="5EED09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</w:tr>
    </w:tbl>
    <w:p w14:paraId="2B2BC5CD">
      <w:pPr>
        <w:jc w:val="left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F67BB6"/>
    <w:rsid w:val="6BA2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Helvetica" w:hAnsi="Helvetica" w:eastAsia="Helvetic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216</Words>
  <Characters>1153</Characters>
  <Lines>0</Lines>
  <Paragraphs>0</Paragraphs>
  <TotalTime>0</TotalTime>
  <ScaleCrop>false</ScaleCrop>
  <LinksUpToDate>false</LinksUpToDate>
  <CharactersWithSpaces>1285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森</cp:lastModifiedBy>
  <dcterms:modified xsi:type="dcterms:W3CDTF">2026-08-10T17:41:54Z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eyJoZGlkIjoiMjBkMmEwOTE2NWI5ZTNlZGVmNDY3ZjU2ZjJiZDA1Y2MiLCJ1c2VySWQiOiIxMTQ1OTg2MzQ3In0=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73FAA08E59E74A77BA8D001BACC64888_12</vt:lpwstr>
  </property>
</Properties>
</file>