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Helvetica" w:hAnsi="Helvetica"/>
          <w:b/>
          <w:sz w:val="20"/>
        </w:rPr>
        <w:t xml:space="preserve">Table X | </w:t>
      </w:r>
      <w:r>
        <w:rPr>
          <w:rFonts w:ascii="Helvetica" w:hAnsi="Helvetica"/>
          <w:b/>
          <w:sz w:val="20"/>
        </w:rPr>
        <w:t>Few-Shot (8-Shot) Prompting Performance — Qwen3-235B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single w:val="single" w:sz="30" w:space="0" w:color="000000"/>
          <w:single w:val="single" w:sz="30" w:space="0" w:color="000000"/>
          <w:left w:val="nil"/>
          <w:right w:val="nil"/>
          <w:insideH w:val="nil"/>
          <w:insideV w:val="nil"/>
        </w:tblBorders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pPr>
              <w:jc w:val="center"/>
            </w:pPr>
            <w:r>
              <w:rPr>
                <w:rFonts w:ascii="Helvetica" w:hAnsi="Helvetica"/>
                <w:b/>
                <w:sz w:val="14"/>
              </w:rPr>
              <w:t>Model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pPr>
              <w:jc w:val="center"/>
            </w:pPr>
            <w:r>
              <w:rPr>
                <w:rFonts w:ascii="Helvetica" w:hAnsi="Helvetica"/>
                <w:b/>
                <w:sz w:val="13"/>
              </w:rPr>
              <w:t>PET Positivity</w:t>
              <w:br/>
              <w:t>(F1)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pPr>
              <w:jc w:val="center"/>
            </w:pPr>
            <w:r>
              <w:rPr>
                <w:rFonts w:ascii="Helvetica" w:hAnsi="Helvetica"/>
                <w:b/>
                <w:sz w:val="13"/>
              </w:rPr>
              <w:t>FL Location</w:t>
              <w:br/>
              <w:t>(F1)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pPr>
              <w:jc w:val="center"/>
            </w:pPr>
            <w:r>
              <w:rPr>
                <w:rFonts w:ascii="Helvetica" w:hAnsi="Helvetica"/>
                <w:b/>
                <w:sz w:val="13"/>
              </w:rPr>
              <w:t>FL Count</w:t>
              <w:br/>
              <w:t>(F1)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pPr>
              <w:jc w:val="center"/>
            </w:pPr>
            <w:r>
              <w:rPr>
                <w:rFonts w:ascii="Helvetica" w:hAnsi="Helvetica"/>
                <w:b/>
                <w:sz w:val="13"/>
              </w:rPr>
              <w:t>EM Location</w:t>
              <w:br/>
              <w:t>(F1)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pPr>
              <w:jc w:val="center"/>
            </w:pPr>
            <w:r>
              <w:rPr>
                <w:rFonts w:ascii="Helvetica" w:hAnsi="Helvetica"/>
                <w:b/>
                <w:sz w:val="13"/>
              </w:rPr>
              <w:t>EM Count</w:t>
              <w:br/>
              <w:t>(F1)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pPr>
              <w:jc w:val="center"/>
            </w:pPr>
            <w:r>
              <w:rPr>
                <w:rFonts w:ascii="Helvetica" w:hAnsi="Helvetica"/>
                <w:b/>
                <w:sz w:val="13"/>
              </w:rPr>
              <w:t>PM Count</w:t>
              <w:br/>
              <w:t>(F1)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pPr>
              <w:jc w:val="center"/>
            </w:pPr>
            <w:r>
              <w:rPr>
                <w:rFonts w:ascii="Helvetica" w:hAnsi="Helvetica"/>
                <w:b/>
                <w:sz w:val="13"/>
              </w:rPr>
              <w:t>Fracture</w:t>
              <w:br/>
              <w:t>(F1)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pPr>
              <w:jc w:val="center"/>
            </w:pPr>
            <w:r>
              <w:rPr>
                <w:rFonts w:ascii="Helvetica" w:hAnsi="Helvetica"/>
                <w:b/>
                <w:sz w:val="13"/>
              </w:rPr>
              <w:t>SUVmax</w:t>
              <w:br/>
              <w:t>MAE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pPr>
              <w:jc w:val="center"/>
            </w:pPr>
            <w:r>
              <w:rPr>
                <w:rFonts w:ascii="Helvetica" w:hAnsi="Helvetica"/>
                <w:b/>
                <w:sz w:val="13"/>
              </w:rPr>
              <w:t>SUVmax</w:t>
              <w:br/>
              <w:t>RMSE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pPr>
              <w:jc w:val="center"/>
            </w:pPr>
            <w:r>
              <w:rPr>
                <w:rFonts w:ascii="Helvetica" w:hAnsi="Helvetica"/>
                <w:b/>
                <w:sz w:val="13"/>
              </w:rPr>
              <w:t>Exact</w:t>
              <w:br/>
              <w:t>Match</w:t>
            </w:r>
          </w:p>
        </w:tc>
      </w:tr>
      <w:tr>
        <w:tc>
          <w:tcPr>
            <w:tcW w:type="dxa" w:w="785"/>
            <w:vAlign w:val="center"/>
          </w:tcPr>
          <w:p>
            <w:pPr>
              <w:jc w:val="left"/>
            </w:pPr>
            <w:r>
              <w:rPr>
                <w:rFonts w:ascii="Helvetica" w:hAnsi="Helvetica"/>
                <w:sz w:val="14"/>
              </w:rPr>
              <w:t>Qwen3-235B-Instruct 0-shot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0.95 (0.93–0.97)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0.80 (0.75–0.84)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0.44 (0.37–0.49)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0.52 (0.47–0.57)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0.52 (0.47–0.56)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0.59 (0.54–0.63)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0.97 (0.96–0.99)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0.23 (0.08–0.43)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1.54 (0.53–2.35)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0.70 (0.68–0.71)</w:t>
            </w:r>
          </w:p>
        </w:tc>
      </w:tr>
      <w:tr>
        <w:tc>
          <w:tcPr>
            <w:tcW w:type="dxa" w:w="785"/>
            <w:vAlign w:val="center"/>
          </w:tcPr>
          <w:p>
            <w:pPr>
              <w:jc w:val="left"/>
            </w:pPr>
            <w:r>
              <w:rPr>
                <w:rFonts w:ascii="Helvetica" w:hAnsi="Helvetica"/>
                <w:sz w:val="14"/>
              </w:rPr>
              <w:t>Qwen3-235B-Thinking 0-shot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0.95 (0.93–0.97)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0.87 (0.83–0.90)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0.64 (0.59–0.69)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0.85 (0.81–0.89)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0.79 (0.75–0.83)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0.80 (0.76–0.84)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0.96 (0.94–0.97)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0.03 (0.00–0.06)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0.23 (0.07–0.34)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0.80 (0.78–0.81)</w:t>
            </w:r>
          </w:p>
        </w:tc>
      </w:tr>
      <w:tr>
        <w:tc>
          <w:tcPr>
            <w:tcW w:type="dxa" w:w="785"/>
            <w:vAlign w:val="center"/>
          </w:tcPr>
          <w:p>
            <w:pPr>
              <w:jc w:val="left"/>
            </w:pPr>
            <w:r>
              <w:rPr>
                <w:rFonts w:ascii="Helvetica" w:hAnsi="Helvetica"/>
                <w:sz w:val="14"/>
              </w:rPr>
              <w:t>Qwen3-235B-Instruct 8-shot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0.96 (0.94–0.98)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0.81 (0.76–0.84)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0.43 (0.38–0.49)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0.38 (0.32–0.44)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0.37 (0.33–0.42)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0.75 (0.71–0.79)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0.99 (0.98–1.00)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0.01 (0.00–0.04)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0.15 (0.00–0.26)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0.66 (0.65–0.68)</w:t>
            </w:r>
          </w:p>
        </w:tc>
      </w:tr>
      <w:tr>
        <w:tc>
          <w:tcPr>
            <w:tcW w:type="dxa" w:w="785"/>
            <w:vAlign w:val="center"/>
          </w:tcPr>
          <w:p>
            <w:pPr>
              <w:jc w:val="left"/>
            </w:pPr>
            <w:r>
              <w:rPr>
                <w:rFonts w:ascii="Helvetica" w:hAnsi="Helvetica"/>
                <w:b/>
                <w:sz w:val="14"/>
              </w:rPr>
              <w:t>Qwen3-235B-Thinking 8-shot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b/>
                <w:sz w:val="14"/>
              </w:rPr>
              <w:t>0.94 (0.92–0.97)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b/>
                <w:sz w:val="14"/>
              </w:rPr>
              <w:t>0.86 (0.82–0.90)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b/>
                <w:sz w:val="14"/>
              </w:rPr>
              <w:t>0.60 (0.54–0.66)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b/>
                <w:sz w:val="14"/>
              </w:rPr>
              <w:t>0.87 (0.83–0.90)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b/>
                <w:sz w:val="14"/>
              </w:rPr>
              <w:t>0.81 (0.77–0.84)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b/>
                <w:sz w:val="14"/>
              </w:rPr>
              <w:t>0.82 (0.78–0.86)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b/>
                <w:sz w:val="14"/>
              </w:rPr>
              <w:t>0.96 (0.95–0.98)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b/>
                <w:sz w:val="14"/>
              </w:rPr>
              <w:t>0.03 (0.00–0.06)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b/>
                <w:sz w:val="14"/>
              </w:rPr>
              <w:t>0.24 (0.04–0.40)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b/>
                <w:sz w:val="14"/>
              </w:rPr>
              <w:t>0.77 (0.76–0.79)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" w:hAnsi="Helvetica" w:eastAsia="Helvetic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