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Helvetica" w:hAnsi="Helvetica"/>
          <w:b/>
          <w:sz w:val="20"/>
        </w:rPr>
        <w:t xml:space="preserve">Table X | </w:t>
      </w:r>
      <w:r>
        <w:rPr>
          <w:rFonts w:ascii="Helvetica" w:hAnsi="Helvetica"/>
          <w:b/>
          <w:sz w:val="20"/>
        </w:rPr>
        <w:t>Optimization Strategies for Small Models (Qwen3-4B)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single w:val="single" w:sz="30" w:space="0" w:color="000000"/>
          <w:single w:val="single" w:sz="30" w:space="0" w:color="000000"/>
          <w:left w:val="nil"/>
          <w:right w:val="nil"/>
          <w:insideH w:val="nil"/>
          <w:insideV w:val="nil"/>
        </w:tblBorders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Model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PET Positivity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FL Location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FL Count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EM Location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EM Count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PM Count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Fracture</w:t>
              <w:br/>
              <w:t>(F1)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SUVmax</w:t>
              <w:br/>
              <w:t>MAE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SUVmax</w:t>
              <w:br/>
              <w:t>RMSE</w:t>
            </w:r>
          </w:p>
        </w:tc>
        <w:tc>
          <w:tcPr>
            <w:tcW w:type="dxa" w:w="785"/>
            <w:vAlign w:val="center"/>
            <w:tcBorders>
              <w:top w:val="nil"/>
              <w:left w:val="nil"/>
              <w:right w:val="nil"/>
              <w:bottom w:val="single" w:sz="15" w:space="0" w:color="000000"/>
            </w:tcBorders>
          </w:tcPr>
          <w:p>
            <w:pPr>
              <w:jc w:val="center"/>
            </w:pPr>
            <w:r>
              <w:rPr>
                <w:rFonts w:ascii="Helvetica" w:hAnsi="Helvetica"/>
                <w:b/>
                <w:sz w:val="13"/>
              </w:rPr>
              <w:t>Exact</w:t>
              <w:br/>
              <w:t>Match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b/>
                <w:sz w:val="14"/>
              </w:rPr>
              <w:t>Qwen3-4B-LoRA 8-shot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0.97 (0.91–1.00)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0.81 (0.72–0.92)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0.57 (0.43–0.67)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0.76 (0.64–0.85)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0.74 (0.63–0.85)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0.66 (0.53–0.79)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0.95 (0.89–0.99)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0.15 (0.00–0.42)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0.80 (0.00–1.39)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b/>
                <w:sz w:val="14"/>
              </w:rPr>
              <w:t>0.60 (0.56–0.65)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Qwen3-4B-LoRA 0-shot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0.96 (0.92–1.00)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0.84 (0.76–0.92)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0.64 (0.51–0.76)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0.89 (0.83–0.95)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0.78 (0.67–0.86)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0.82 (0.73–0.91)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0.93 (0.87–0.98)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0.04 (0.00–0.14)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0.25 (0.00–0.47)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0.77 (0.74–0.80)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Qwen3-4B-Thinking 8-shot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0.95 (0.90–0.99)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0.82 (0.69–0.92)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0.48 (0.36–0.60)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0.73 (0.62–0.82)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0.63 (0.53–0.73)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0.57 (0.42–0.72)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0.81 (0.72–0.88)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0.93 (0.19–1.87)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1.82 (0.40–2.87)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0.77 (0.74–0.80)</w:t>
            </w:r>
          </w:p>
        </w:tc>
      </w:tr>
      <w:tr>
        <w:tc>
          <w:tcPr>
            <w:tcW w:type="dxa" w:w="785"/>
            <w:vAlign w:val="center"/>
          </w:tcPr>
          <w:p>
            <w:pPr>
              <w:jc w:val="left"/>
            </w:pPr>
            <w:r>
              <w:rPr>
                <w:rFonts w:ascii="Helvetica" w:hAnsi="Helvetica"/>
                <w:sz w:val="14"/>
              </w:rPr>
              <w:t>Qwen3-4B-Thinking 0-shot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0.97 (0.93–1.00)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0.74 (0.65–0.84)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0.64 (0.52–0.77)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0.92 (0.85–0.97)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0.72 (0.61–0.81)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0.73 (0.62–0.82)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0.94 (0.88–0.99)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0.37 (0.02–0.95)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1.97 (0.11–3.42)</w:t>
            </w:r>
          </w:p>
        </w:tc>
        <w:tc>
          <w:tcPr>
            <w:tcW w:type="dxa" w:w="785"/>
            <w:vAlign w:val="center"/>
          </w:tcPr>
          <w:p>
            <w:pPr>
              <w:jc w:val="center"/>
            </w:pPr>
            <w:r>
              <w:rPr>
                <w:rFonts w:ascii="Helvetica" w:hAnsi="Helvetica"/>
                <w:sz w:val="14"/>
              </w:rPr>
              <w:t>0.71 (0.70–0.72)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eastAsia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