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6 | Interpretability and Hallucination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Model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Clarity (mean±SD)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Completeness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Traceability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Clinical Trust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Hallucination Rate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Critical Errors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General Errors</w:t>
            </w:r>
          </w:p>
        </w:tc>
        <w:tc>
          <w:tcPr>
            <w:tcW w:type="dxa" w:w="9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b/>
                <w:sz w:val="13"/>
              </w:rPr>
              <w:t>Minor Errors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4.8 ± 0.5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3.2 ± 1.3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5.0 ± 0.1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3.2 ± 1.3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0.76 (0.64–0.88)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0.20 (0.10–0.32)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0.44 (0.30–0.58)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0.12 (0.04–0.22)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sz w:val="15"/>
              </w:rPr>
              <w:t>Qwen3-235B-Thinking 0-shot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4.9 ± 0.4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4.2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5.0 ± 0.0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4.2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0.42 (0.64–0.88)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0.06 (0.10–0.32)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0.26 (0.30–0.58)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0.10 (0.04–0.22)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5.0 ± 0.2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4.1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5.0 ± 0.0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4.0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0.52 (0.64–0.88)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0.04 (0.10–0.32)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0.38 (0.30–0.58)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0.10 (0.04–0.22)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sz w:val="15"/>
              </w:rPr>
              <w:t>Qwen3-4B-LoRA 8-cot-shot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4.4 ± 1.4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3.5 ± 1.6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4.4 ± 1.4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3.5 ± 1.6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0.48 (0.64–0.88)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0.14 (0.10–0.32)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0.30 (0.30–0.58)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sz w:val="15"/>
              </w:rPr>
              <w:t>0.04 (0.04–0.22)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sz w:val="15"/>
              </w:rPr>
              <w:t>Qwen3-235B-Thinking 8-shot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4.9 ± 0.4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4.3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5.0 ± 0.3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4.3 ± 1.1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0.36 (0.64–0.88)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0.06 (0.10–0.32)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0.18 (0.30–0.58)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0.12 (0.04–0.22)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