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4AAFA">
      <w:pPr>
        <w:spacing w:after="80"/>
        <w:jc w:val="left"/>
      </w:pPr>
      <w:r>
        <w:rPr>
          <w:rFonts w:ascii="Helvetica" w:hAnsi="Helvetica"/>
          <w:b/>
          <w:sz w:val="20"/>
        </w:rPr>
        <w:t>Table X | External Validation: Structured Extraction Performance (n=162)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8940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4ABE8862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Metric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6845E04A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Internal (95% CI)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07C63FA4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External (95% CI)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4E0ADF0E">
            <w:pPr>
              <w:spacing w:after="0" w:line="240" w:lineRule="auto"/>
              <w:jc w:val="center"/>
            </w:pPr>
            <w:r>
              <w:rPr>
                <w:rFonts w:ascii="Helvetica" w:hAnsi="Helvetica"/>
                <w:b/>
                <w:sz w:val="14"/>
              </w:rPr>
              <w:t>P value</w:t>
            </w:r>
          </w:p>
        </w:tc>
      </w:tr>
      <w:tr w14:paraId="7FA561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0D3516F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Exact Match Accuracy (%)</w:t>
            </w:r>
          </w:p>
        </w:tc>
        <w:tc>
          <w:tcPr>
            <w:tcW w:w="2160" w:type="dxa"/>
            <w:vAlign w:val="center"/>
          </w:tcPr>
          <w:p w14:paraId="210EC884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0.77 (0.74–0.80)</w:t>
            </w:r>
          </w:p>
        </w:tc>
        <w:tc>
          <w:tcPr>
            <w:tcW w:w="2160" w:type="dxa"/>
            <w:vAlign w:val="center"/>
          </w:tcPr>
          <w:p w14:paraId="66434788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0.84 (0.81–0.87)</w:t>
            </w:r>
          </w:p>
        </w:tc>
        <w:tc>
          <w:tcPr>
            <w:tcW w:w="2160" w:type="dxa"/>
            <w:vAlign w:val="center"/>
          </w:tcPr>
          <w:p w14:paraId="395C0CBB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777E0D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13D5057E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Focal Lesion Count (Weighted F1)</w:t>
            </w:r>
          </w:p>
        </w:tc>
        <w:tc>
          <w:tcPr>
            <w:tcW w:w="2160" w:type="dxa"/>
            <w:vAlign w:val="center"/>
          </w:tcPr>
          <w:p w14:paraId="4FC49094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0.65 (0.54–0.75)</w:t>
            </w:r>
          </w:p>
        </w:tc>
        <w:tc>
          <w:tcPr>
            <w:tcW w:w="2160" w:type="dxa"/>
            <w:vAlign w:val="center"/>
          </w:tcPr>
          <w:p w14:paraId="1989A949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0.68 (0.61–0.75)</w:t>
            </w:r>
          </w:p>
        </w:tc>
        <w:tc>
          <w:tcPr>
            <w:tcW w:w="2160" w:type="dxa"/>
            <w:vAlign w:val="center"/>
          </w:tcPr>
          <w:p w14:paraId="2A839C95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0.19</w:t>
            </w:r>
          </w:p>
        </w:tc>
      </w:tr>
      <w:tr w14:paraId="3524C0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1D33B0AD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Extramedullary Disease (F1)</w:t>
            </w:r>
          </w:p>
        </w:tc>
        <w:tc>
          <w:tcPr>
            <w:tcW w:w="2160" w:type="dxa"/>
            <w:vAlign w:val="center"/>
          </w:tcPr>
          <w:p w14:paraId="24EB42D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0.89 (0.83–0.95)</w:t>
            </w:r>
          </w:p>
        </w:tc>
        <w:tc>
          <w:tcPr>
            <w:tcW w:w="2160" w:type="dxa"/>
            <w:vAlign w:val="center"/>
          </w:tcPr>
          <w:p w14:paraId="121E6F92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0.91 (0.86–0.95)</w:t>
            </w:r>
          </w:p>
        </w:tc>
        <w:tc>
          <w:tcPr>
            <w:tcW w:w="2160" w:type="dxa"/>
            <w:vAlign w:val="center"/>
          </w:tcPr>
          <w:p w14:paraId="13FA4C68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75C9F1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31C208D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Diffuse Infiltration (F1)</w:t>
            </w:r>
          </w:p>
        </w:tc>
        <w:tc>
          <w:tcPr>
            <w:tcW w:w="2160" w:type="dxa"/>
            <w:vAlign w:val="center"/>
          </w:tcPr>
          <w:p w14:paraId="2CA3998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0.76 (0.65–0.88)</w:t>
            </w:r>
          </w:p>
        </w:tc>
        <w:tc>
          <w:tcPr>
            <w:tcW w:w="2160" w:type="dxa"/>
            <w:vAlign w:val="center"/>
          </w:tcPr>
          <w:p w14:paraId="2456F086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0.85 (0.80–0.90)</w:t>
            </w:r>
          </w:p>
        </w:tc>
        <w:tc>
          <w:tcPr>
            <w:tcW w:w="2160" w:type="dxa"/>
            <w:vAlign w:val="center"/>
          </w:tcPr>
          <w:p w14:paraId="5FFF1A8C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0.08</w:t>
            </w:r>
          </w:p>
        </w:tc>
      </w:tr>
      <w:tr w14:paraId="79CA88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DC02E91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PET Positivity (Accuracy, %)</w:t>
            </w:r>
          </w:p>
        </w:tc>
        <w:tc>
          <w:tcPr>
            <w:tcW w:w="2160" w:type="dxa"/>
            <w:vAlign w:val="center"/>
          </w:tcPr>
          <w:p w14:paraId="10C15EA2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0.96 (0.91–1.00)</w:t>
            </w:r>
          </w:p>
        </w:tc>
        <w:tc>
          <w:tcPr>
            <w:tcW w:w="2160" w:type="dxa"/>
            <w:vAlign w:val="center"/>
          </w:tcPr>
          <w:p w14:paraId="0A12C4A5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0.91 (0.86–0.95)</w:t>
            </w:r>
          </w:p>
        </w:tc>
        <w:tc>
          <w:tcPr>
            <w:tcW w:w="2160" w:type="dxa"/>
            <w:vAlign w:val="center"/>
          </w:tcPr>
          <w:p w14:paraId="6FC4CDFE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7D11D2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90C5A67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Deauville Score (Weighted F1)</w:t>
            </w:r>
          </w:p>
        </w:tc>
        <w:tc>
          <w:tcPr>
            <w:tcW w:w="2160" w:type="dxa"/>
            <w:vAlign w:val="center"/>
          </w:tcPr>
          <w:p w14:paraId="39B7A58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0.55 (0.43–0.67)</w:t>
            </w:r>
          </w:p>
        </w:tc>
        <w:tc>
          <w:tcPr>
            <w:tcW w:w="2160" w:type="dxa"/>
            <w:vAlign w:val="center"/>
          </w:tcPr>
          <w:p w14:paraId="4194F958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0.84 (0.79–0.88)</w:t>
            </w:r>
          </w:p>
        </w:tc>
        <w:tc>
          <w:tcPr>
            <w:tcW w:w="2160" w:type="dxa"/>
            <w:vAlign w:val="center"/>
          </w:tcPr>
          <w:p w14:paraId="408D621D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2A9FBA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11B5A14C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SUVmax (MAE)</w:t>
            </w:r>
          </w:p>
        </w:tc>
        <w:tc>
          <w:tcPr>
            <w:tcW w:w="2160" w:type="dxa"/>
            <w:vAlign w:val="center"/>
          </w:tcPr>
          <w:p w14:paraId="4278D9FE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0.04 (0.00–0.14)</w:t>
            </w:r>
          </w:p>
        </w:tc>
        <w:tc>
          <w:tcPr>
            <w:tcW w:w="2160" w:type="dxa"/>
            <w:vAlign w:val="center"/>
          </w:tcPr>
          <w:p w14:paraId="5626B247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0.69 (0.35–1.05)</w:t>
            </w:r>
          </w:p>
        </w:tc>
        <w:tc>
          <w:tcPr>
            <w:tcW w:w="2160" w:type="dxa"/>
            <w:vAlign w:val="center"/>
          </w:tcPr>
          <w:p w14:paraId="363E86C7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  <w:tr w14:paraId="77BB54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41D4542">
            <w:pPr>
              <w:spacing w:after="0" w:line="240" w:lineRule="auto"/>
              <w:jc w:val="left"/>
            </w:pPr>
            <w:r>
              <w:rPr>
                <w:rFonts w:ascii="Helvetica" w:hAnsi="Helvetica"/>
                <w:sz w:val="15"/>
              </w:rPr>
              <w:t>SUVmax(RMSE)</w:t>
            </w:r>
          </w:p>
        </w:tc>
        <w:tc>
          <w:tcPr>
            <w:tcW w:w="2160" w:type="dxa"/>
            <w:vAlign w:val="center"/>
          </w:tcPr>
          <w:p w14:paraId="08202CBE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0.25 (0.00–0.47)</w:t>
            </w:r>
          </w:p>
        </w:tc>
        <w:tc>
          <w:tcPr>
            <w:tcW w:w="2160" w:type="dxa"/>
            <w:vAlign w:val="center"/>
          </w:tcPr>
          <w:p w14:paraId="6975B33B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0.02 (0.01–0.03)</w:t>
            </w:r>
          </w:p>
        </w:tc>
        <w:tc>
          <w:tcPr>
            <w:tcW w:w="2160" w:type="dxa"/>
            <w:vAlign w:val="center"/>
          </w:tcPr>
          <w:p w14:paraId="54298A61">
            <w:pPr>
              <w:spacing w:after="0" w:line="240" w:lineRule="auto"/>
              <w:jc w:val="center"/>
            </w:pPr>
            <w:r>
              <w:rPr>
                <w:rFonts w:ascii="Helvetica" w:hAnsi="Helvetica"/>
                <w:sz w:val="15"/>
              </w:rPr>
              <w:t>0.0</w:t>
            </w:r>
          </w:p>
        </w:tc>
      </w:tr>
    </w:tbl>
    <w:p w14:paraId="1CAF7C9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90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elvetica" w:hAnsi="Helvetica" w:eastAsia="Helvetic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583</Characters>
  <Lines>0</Lines>
  <Paragraphs>0</Paragraphs>
  <TotalTime>0</TotalTime>
  <ScaleCrop>false</ScaleCrop>
  <LinksUpToDate>false</LinksUpToDate>
  <CharactersWithSpaces>636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森</cp:lastModifiedBy>
  <dcterms:modified xsi:type="dcterms:W3CDTF">2026-08-10T17:43:15Z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eyJoZGlkIjoiMjBkMmEwOTE2NWI5ZTNlZGVmNDY3ZjU2ZjJiZDA1Y2MiLCJ1c2VySWQiOiIxMTQ1OTg2MzQ3In0=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274A224F04204A2AA64ED08DA161B265_12</vt:lpwstr>
  </property>
</Properties>
</file>